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F8" w:rsidRPr="00BB0E07" w:rsidRDefault="008D34DE" w:rsidP="00997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FF8" w:rsidRPr="00BB0E07">
        <w:rPr>
          <w:rFonts w:ascii="Times New Roman" w:hAnsi="Times New Roman" w:cs="Times New Roman"/>
          <w:sz w:val="24"/>
          <w:szCs w:val="24"/>
        </w:rPr>
        <w:t xml:space="preserve">Техническое задание № </w:t>
      </w:r>
      <w:r w:rsidR="00AF03DF">
        <w:rPr>
          <w:rFonts w:ascii="Times New Roman" w:hAnsi="Times New Roman" w:cs="Times New Roman"/>
          <w:sz w:val="24"/>
          <w:szCs w:val="24"/>
        </w:rPr>
        <w:t>29</w:t>
      </w:r>
      <w:r w:rsidR="001A1FF8" w:rsidRPr="00BB0E07">
        <w:rPr>
          <w:rFonts w:ascii="Times New Roman" w:hAnsi="Times New Roman" w:cs="Times New Roman"/>
          <w:sz w:val="24"/>
          <w:szCs w:val="24"/>
        </w:rPr>
        <w:t xml:space="preserve"> от </w:t>
      </w:r>
      <w:r w:rsidR="00AF03DF">
        <w:rPr>
          <w:rFonts w:ascii="Times New Roman" w:hAnsi="Times New Roman" w:cs="Times New Roman"/>
          <w:sz w:val="24"/>
          <w:szCs w:val="24"/>
        </w:rPr>
        <w:t>18.09</w:t>
      </w:r>
      <w:bookmarkStart w:id="0" w:name="_GoBack"/>
      <w:bookmarkEnd w:id="0"/>
      <w:r w:rsidR="0002032B">
        <w:rPr>
          <w:rFonts w:ascii="Times New Roman" w:hAnsi="Times New Roman" w:cs="Times New Roman"/>
          <w:sz w:val="24"/>
          <w:szCs w:val="24"/>
        </w:rPr>
        <w:t>.</w:t>
      </w:r>
      <w:r w:rsidR="001A1FF8" w:rsidRPr="00BB0E07">
        <w:rPr>
          <w:rFonts w:ascii="Times New Roman" w:hAnsi="Times New Roman" w:cs="Times New Roman"/>
          <w:sz w:val="24"/>
          <w:szCs w:val="24"/>
        </w:rPr>
        <w:t>201</w:t>
      </w:r>
      <w:r w:rsidR="0002032B">
        <w:rPr>
          <w:rFonts w:ascii="Times New Roman" w:hAnsi="Times New Roman" w:cs="Times New Roman"/>
          <w:sz w:val="24"/>
          <w:szCs w:val="24"/>
        </w:rPr>
        <w:t>9</w:t>
      </w:r>
    </w:p>
    <w:p w:rsidR="009A734D" w:rsidRDefault="009A734D" w:rsidP="009A734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803812"/>
      <w:r w:rsidRPr="009A734D">
        <w:rPr>
          <w:rFonts w:ascii="Times New Roman" w:hAnsi="Times New Roman" w:cs="Times New Roman"/>
          <w:sz w:val="24"/>
          <w:szCs w:val="24"/>
        </w:rPr>
        <w:t xml:space="preserve">на </w:t>
      </w:r>
      <w:r w:rsidR="00BD1340" w:rsidRPr="00BD1340">
        <w:rPr>
          <w:rFonts w:ascii="Times New Roman" w:hAnsi="Times New Roman" w:cs="Times New Roman"/>
          <w:sz w:val="24"/>
          <w:szCs w:val="24"/>
        </w:rPr>
        <w:t>организаци</w:t>
      </w:r>
      <w:r w:rsidR="00BD1340">
        <w:rPr>
          <w:rFonts w:ascii="Times New Roman" w:hAnsi="Times New Roman" w:cs="Times New Roman"/>
          <w:sz w:val="24"/>
          <w:szCs w:val="24"/>
        </w:rPr>
        <w:t>ю</w:t>
      </w:r>
      <w:r w:rsidR="00BD1340" w:rsidRPr="00BD134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FB3D2A">
        <w:rPr>
          <w:rFonts w:ascii="Times New Roman" w:hAnsi="Times New Roman" w:cs="Times New Roman"/>
          <w:sz w:val="24"/>
          <w:szCs w:val="24"/>
        </w:rPr>
        <w:t xml:space="preserve">оказания услуги </w:t>
      </w:r>
      <w:r w:rsidR="00FB3D2A" w:rsidRPr="00707087">
        <w:rPr>
          <w:rFonts w:ascii="Times New Roman" w:hAnsi="Times New Roman" w:cs="Times New Roman"/>
          <w:sz w:val="24"/>
          <w:szCs w:val="24"/>
        </w:rPr>
        <w:t xml:space="preserve">по </w:t>
      </w:r>
      <w:r w:rsidR="00FB3D2A">
        <w:rPr>
          <w:rFonts w:ascii="Times New Roman" w:hAnsi="Times New Roman" w:cs="Times New Roman"/>
          <w:sz w:val="24"/>
          <w:szCs w:val="24"/>
        </w:rPr>
        <w:t>содействию в популяризации продукции субъектов малого и среднего предпринимательства</w:t>
      </w:r>
    </w:p>
    <w:p w:rsidR="00FB3D2A" w:rsidRPr="006F1289" w:rsidRDefault="00FB3D2A" w:rsidP="009A734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915ECA" w:rsidRPr="00A96C18" w:rsidTr="00EE4AE6">
        <w:tc>
          <w:tcPr>
            <w:tcW w:w="1980" w:type="dxa"/>
          </w:tcPr>
          <w:p w:rsidR="008F4505" w:rsidRPr="00A96C18" w:rsidRDefault="008F4505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4505" w:rsidRPr="00A96C18" w:rsidRDefault="008F4505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7626" w:type="dxa"/>
          </w:tcPr>
          <w:p w:rsidR="008F4505" w:rsidRPr="00A96C18" w:rsidRDefault="008F4505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Центр поддержки МСП</w:t>
            </w:r>
          </w:p>
        </w:tc>
      </w:tr>
      <w:tr w:rsidR="00915ECA" w:rsidRPr="00A96C18" w:rsidTr="00EE4AE6">
        <w:tc>
          <w:tcPr>
            <w:tcW w:w="1980" w:type="dxa"/>
          </w:tcPr>
          <w:p w:rsidR="008F4505" w:rsidRPr="00A96C18" w:rsidRDefault="008F4505" w:rsidP="002A48B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7626" w:type="dxa"/>
          </w:tcPr>
          <w:p w:rsidR="008F4505" w:rsidRPr="00A96C18" w:rsidRDefault="00AB122F" w:rsidP="00AB122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Услуги по комплексному маркетинговому сопровождению</w:t>
            </w: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МСП, направленные на </w:t>
            </w:r>
            <w:r w:rsidR="009967DA" w:rsidRPr="00A96C18">
              <w:rPr>
                <w:rFonts w:ascii="Times New Roman" w:hAnsi="Times New Roman" w:cs="Times New Roman"/>
                <w:sz w:val="24"/>
                <w:szCs w:val="24"/>
              </w:rPr>
              <w:t>популяризаци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967DA"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субъектов малого и среднего предпринимательства (далее – услуга)</w:t>
            </w:r>
          </w:p>
        </w:tc>
      </w:tr>
      <w:tr w:rsidR="00915ECA" w:rsidRPr="00A96C18" w:rsidTr="00EE4AE6">
        <w:tc>
          <w:tcPr>
            <w:tcW w:w="1980" w:type="dxa"/>
          </w:tcPr>
          <w:p w:rsidR="001D1475" w:rsidRPr="00A96C18" w:rsidRDefault="001D1475" w:rsidP="002A48B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626" w:type="dxa"/>
          </w:tcPr>
          <w:p w:rsidR="005A42CA" w:rsidRDefault="005A42CA" w:rsidP="005A42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комплексному маркетинговому сопровождению, 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популяризацию </w:t>
            </w:r>
            <w:r w:rsidR="00F90E4E">
              <w:rPr>
                <w:rFonts w:ascii="Times New Roman" w:hAnsi="Times New Roman" w:cs="Times New Roman"/>
                <w:sz w:val="24"/>
                <w:szCs w:val="24"/>
              </w:rPr>
              <w:t>продукции субъекта МСП</w:t>
            </w: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, создающей положительный образа предпринимателя, включающее в себя:</w:t>
            </w:r>
          </w:p>
          <w:p w:rsidR="000A7C52" w:rsidRPr="00C451D6" w:rsidRDefault="000A7C52" w:rsidP="005A42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составление маркетингового плана для субъекта МСП;</w:t>
            </w:r>
          </w:p>
          <w:p w:rsidR="00B85F7C" w:rsidRDefault="005A42CA" w:rsidP="005A42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- изготовление</w:t>
            </w:r>
            <w:r w:rsidR="00B85F7C"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F7C" w:rsidRPr="005A42CA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рекламно-информационных материалов</w:t>
            </w:r>
            <w:r w:rsidR="00B85F7C">
              <w:rPr>
                <w:rFonts w:ascii="Times New Roman" w:hAnsi="Times New Roman" w:cs="Times New Roman"/>
                <w:sz w:val="24"/>
                <w:szCs w:val="24"/>
              </w:rPr>
              <w:t xml:space="preserve"> – рекламного ролика хронометражем </w:t>
            </w:r>
            <w:r w:rsidR="00BC4DA3">
              <w:rPr>
                <w:rFonts w:ascii="Times New Roman" w:hAnsi="Times New Roman" w:cs="Times New Roman"/>
                <w:sz w:val="24"/>
                <w:szCs w:val="24"/>
              </w:rPr>
              <w:t>от 10 до</w:t>
            </w:r>
            <w:r w:rsidR="00B85F7C">
              <w:rPr>
                <w:rFonts w:ascii="Times New Roman" w:hAnsi="Times New Roman" w:cs="Times New Roman"/>
                <w:sz w:val="24"/>
                <w:szCs w:val="24"/>
              </w:rPr>
              <w:t xml:space="preserve">15 сек.; </w:t>
            </w:r>
          </w:p>
          <w:p w:rsidR="00B85F7C" w:rsidRDefault="00B85F7C" w:rsidP="005A42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A42CA" w:rsidRPr="005A42CA">
              <w:rPr>
                <w:rFonts w:ascii="Times New Roman" w:hAnsi="Times New Roman" w:cs="Times New Roman"/>
                <w:sz w:val="24"/>
                <w:szCs w:val="24"/>
              </w:rPr>
              <w:t>размещение рекламно-информационных материалов в региональных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r w:rsidR="00BC4DA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2-ух телеканалах с количеством выходов от 3 до 5 раз в день, период размещения – от 7 до 10 календарных дней;</w:t>
            </w:r>
          </w:p>
          <w:p w:rsidR="00B85F7C" w:rsidRDefault="00B85F7C" w:rsidP="005A42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аудиоролика для размещения на радиостанциях хронометражем</w:t>
            </w:r>
            <w:r w:rsidR="005A42CA"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сек.;</w:t>
            </w:r>
          </w:p>
          <w:p w:rsidR="00B85F7C" w:rsidRDefault="00B85F7C" w:rsidP="005A42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аудиоролика в радиоэфире не менее чем на двух радиостанциях </w:t>
            </w:r>
            <w:r w:rsidR="00A467D3">
              <w:rPr>
                <w:rFonts w:ascii="Times New Roman" w:hAnsi="Times New Roman" w:cs="Times New Roman"/>
                <w:sz w:val="24"/>
                <w:szCs w:val="24"/>
              </w:rPr>
              <w:t xml:space="preserve">и не более чем на четырех. Количество размещений в день: от </w:t>
            </w:r>
            <w:r w:rsidR="00BC4DA3">
              <w:rPr>
                <w:rFonts w:ascii="Times New Roman" w:hAnsi="Times New Roman" w:cs="Times New Roman"/>
                <w:sz w:val="24"/>
                <w:szCs w:val="24"/>
              </w:rPr>
              <w:t>3 до 8 раз в течении 5</w:t>
            </w:r>
            <w:r w:rsidR="00A467D3">
              <w:rPr>
                <w:rFonts w:ascii="Times New Roman" w:hAnsi="Times New Roman" w:cs="Times New Roman"/>
                <w:sz w:val="24"/>
                <w:szCs w:val="24"/>
              </w:rPr>
              <w:t>-10 календарных дней;</w:t>
            </w:r>
          </w:p>
          <w:p w:rsidR="00A467D3" w:rsidRDefault="00A467D3" w:rsidP="005A42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интернет-баннера</w:t>
            </w:r>
            <w:r w:rsidR="00DF73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2CA" w:rsidRPr="005A42CA" w:rsidRDefault="00A467D3" w:rsidP="005A42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интернет-баннера в </w:t>
            </w:r>
            <w:r w:rsidR="005A42CA"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сетях,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согласованных с </w:t>
            </w:r>
            <w:r w:rsidR="005A42CA" w:rsidRPr="005A42CA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дней от </w:t>
            </w:r>
            <w:r w:rsidR="00BC4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14)</w:t>
            </w:r>
            <w:r w:rsidR="005A42CA" w:rsidRPr="005A42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2CA" w:rsidRPr="005A42CA" w:rsidRDefault="005A42CA" w:rsidP="005A42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- изготовление и тиражирование печатных рекламно-информационных материалов (брошюр, буклетов</w:t>
            </w:r>
            <w:r w:rsidR="00A467D3">
              <w:rPr>
                <w:rFonts w:ascii="Times New Roman" w:hAnsi="Times New Roman" w:cs="Times New Roman"/>
                <w:sz w:val="24"/>
                <w:szCs w:val="24"/>
              </w:rPr>
              <w:t>, листовки</w:t>
            </w: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  <w:r w:rsidR="00A467D3">
              <w:rPr>
                <w:rFonts w:ascii="Times New Roman" w:hAnsi="Times New Roman" w:cs="Times New Roman"/>
                <w:sz w:val="24"/>
                <w:szCs w:val="24"/>
              </w:rPr>
              <w:t xml:space="preserve"> общим тиражом </w:t>
            </w:r>
            <w:r w:rsidR="00BC4DA3">
              <w:rPr>
                <w:rFonts w:ascii="Times New Roman" w:hAnsi="Times New Roman" w:cs="Times New Roman"/>
                <w:sz w:val="24"/>
                <w:szCs w:val="24"/>
              </w:rPr>
              <w:t xml:space="preserve">от 100 до </w:t>
            </w:r>
            <w:r w:rsidR="00A467D3">
              <w:rPr>
                <w:rFonts w:ascii="Times New Roman" w:hAnsi="Times New Roman" w:cs="Times New Roman"/>
                <w:sz w:val="24"/>
                <w:szCs w:val="24"/>
              </w:rPr>
              <w:t>1000 шт., полноцветная печать, размер – А4, А5</w:t>
            </w: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2CA" w:rsidRPr="005A42CA" w:rsidRDefault="005A42CA" w:rsidP="005A42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 размещение </w:t>
            </w:r>
            <w:r w:rsidR="000737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печатных изданиях тиражом не менее 10 000 экземпляров, размер информации – 35 кв.см. </w:t>
            </w:r>
          </w:p>
          <w:p w:rsidR="001D1475" w:rsidRPr="00A96C18" w:rsidRDefault="001D1475" w:rsidP="005A42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CA" w:rsidRPr="00A96C18" w:rsidTr="00EE4AE6">
        <w:tc>
          <w:tcPr>
            <w:tcW w:w="1980" w:type="dxa"/>
          </w:tcPr>
          <w:p w:rsidR="008F4505" w:rsidRPr="00A96C18" w:rsidRDefault="008F4505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7626" w:type="dxa"/>
          </w:tcPr>
          <w:p w:rsidR="00921088" w:rsidRPr="00A96C18" w:rsidRDefault="00B86B02" w:rsidP="006A64E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Сроки оказания услуг: с даты заключения договора до </w:t>
            </w:r>
            <w:r w:rsidR="000407BE" w:rsidRPr="00A96C18">
              <w:rPr>
                <w:rFonts w:ascii="Times New Roman" w:hAnsi="Times New Roman" w:cs="Times New Roman"/>
                <w:sz w:val="24"/>
                <w:szCs w:val="24"/>
              </w:rPr>
              <w:t>14 декабря 2019 года</w:t>
            </w:r>
          </w:p>
        </w:tc>
      </w:tr>
      <w:tr w:rsidR="008A16BB" w:rsidRPr="00A96C18" w:rsidTr="00EE4AE6">
        <w:tc>
          <w:tcPr>
            <w:tcW w:w="1980" w:type="dxa"/>
          </w:tcPr>
          <w:p w:rsidR="008A16BB" w:rsidRPr="00A96C18" w:rsidRDefault="008A16BB" w:rsidP="002A339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6BB">
              <w:rPr>
                <w:rFonts w:ascii="Times New Roman" w:hAnsi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626" w:type="dxa"/>
          </w:tcPr>
          <w:p w:rsidR="008A16BB" w:rsidRPr="008F191C" w:rsidRDefault="008A16BB" w:rsidP="007F0B05">
            <w:pPr>
              <w:tabs>
                <w:tab w:val="left" w:pos="317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91C">
              <w:rPr>
                <w:rFonts w:ascii="Times New Roman" w:hAnsi="Times New Roman"/>
                <w:sz w:val="24"/>
                <w:szCs w:val="24"/>
              </w:rPr>
              <w:t xml:space="preserve"> Исполнитель должен соответствовать следующим требованиям:</w:t>
            </w:r>
          </w:p>
          <w:p w:rsidR="008A16BB" w:rsidRPr="008F191C" w:rsidRDefault="008A16BB" w:rsidP="007F0B05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7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8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:rsidR="008A16BB" w:rsidRPr="008F191C" w:rsidRDefault="008A16BB" w:rsidP="007F0B05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9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0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>- картотека арбитражных дел).</w:t>
            </w:r>
          </w:p>
          <w:p w:rsidR="008A16BB" w:rsidRPr="008F191C" w:rsidRDefault="008A16BB" w:rsidP="007F0B05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8F191C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8F191C">
              <w:rPr>
                <w:rFonts w:ascii="Times New Roman" w:eastAsia="Times New Roman" w:hAnsi="Times New Roman"/>
                <w:sz w:val="24"/>
                <w:szCs w:val="24"/>
              </w:rPr>
              <w:t> - реестр недобросовестных поставщиков).</w:t>
            </w:r>
          </w:p>
          <w:p w:rsidR="008A16BB" w:rsidRPr="008F191C" w:rsidRDefault="008A16BB" w:rsidP="007F0B05">
            <w:pPr>
              <w:tabs>
                <w:tab w:val="left" w:pos="317"/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:rsidR="008A16BB" w:rsidRPr="008F191C" w:rsidRDefault="008A16BB" w:rsidP="008A16BB">
            <w:pPr>
              <w:pStyle w:val="ae"/>
              <w:numPr>
                <w:ilvl w:val="0"/>
                <w:numId w:val="43"/>
              </w:numPr>
              <w:tabs>
                <w:tab w:val="left" w:pos="288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Деятельность не должна быть приостановлена в порядке, установленном Кодексом Российской Федерации об административных </w:t>
            </w:r>
            <w:r w:rsidRPr="008F19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правонарушениях на день подачи предложений и документов.</w:t>
            </w:r>
          </w:p>
          <w:p w:rsidR="008A16BB" w:rsidRDefault="008A16BB" w:rsidP="007F0B05">
            <w:pPr>
              <w:tabs>
                <w:tab w:val="left" w:pos="175"/>
                <w:tab w:val="left" w:pos="1134"/>
              </w:tabs>
              <w:suppressAutoHyphens/>
              <w:ind w:left="175"/>
              <w:contextualSpacing/>
              <w:jc w:val="both"/>
              <w:rPr>
                <w:rFonts w:ascii="Times New Roman" w:hAnsi="Times New Roman"/>
              </w:rPr>
            </w:pPr>
          </w:p>
          <w:p w:rsidR="008A16BB" w:rsidRDefault="008A16BB" w:rsidP="007F0B05">
            <w:pPr>
              <w:tabs>
                <w:tab w:val="left" w:pos="175"/>
                <w:tab w:val="left" w:pos="1134"/>
              </w:tabs>
              <w:suppressAutoHyphens/>
              <w:ind w:left="175"/>
              <w:contextualSpacing/>
              <w:jc w:val="both"/>
              <w:rPr>
                <w:rFonts w:ascii="Times New Roman" w:hAnsi="Times New Roman"/>
              </w:rPr>
            </w:pPr>
            <w:r w:rsidRPr="00A8250F">
              <w:rPr>
                <w:rFonts w:ascii="Times New Roman" w:hAnsi="Times New Roman"/>
              </w:rPr>
              <w:t xml:space="preserve">Исполнитель должен соответствовать следующим </w:t>
            </w:r>
            <w:r w:rsidR="00BB4BC3">
              <w:rPr>
                <w:rFonts w:ascii="Times New Roman" w:hAnsi="Times New Roman"/>
              </w:rPr>
              <w:t xml:space="preserve">общим </w:t>
            </w:r>
            <w:r w:rsidR="00514546">
              <w:rPr>
                <w:rFonts w:ascii="Times New Roman" w:hAnsi="Times New Roman"/>
              </w:rPr>
              <w:t xml:space="preserve">и дополнительным (в зависимости от вида услуги) </w:t>
            </w:r>
            <w:r w:rsidRPr="00A8250F">
              <w:rPr>
                <w:rFonts w:ascii="Times New Roman" w:hAnsi="Times New Roman"/>
              </w:rPr>
              <w:t>критериям</w:t>
            </w:r>
            <w:r w:rsidR="00514546">
              <w:rPr>
                <w:rFonts w:ascii="Times New Roman" w:hAnsi="Times New Roman"/>
              </w:rPr>
              <w:t xml:space="preserve"> отбора</w:t>
            </w:r>
            <w:r w:rsidRPr="00A8250F">
              <w:rPr>
                <w:rFonts w:ascii="Times New Roman" w:hAnsi="Times New Roman"/>
              </w:rPr>
              <w:t>:</w:t>
            </w: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3118"/>
            </w:tblGrid>
            <w:tr w:rsidR="004E2BC3" w:rsidRPr="005A7509" w:rsidTr="007F0B05">
              <w:trPr>
                <w:trHeight w:val="561"/>
              </w:trPr>
              <w:tc>
                <w:tcPr>
                  <w:tcW w:w="3998" w:type="dxa"/>
                  <w:shd w:val="clear" w:color="auto" w:fill="auto"/>
                </w:tcPr>
                <w:p w:rsidR="004E2BC3" w:rsidRPr="004E2BC3" w:rsidRDefault="00514546" w:rsidP="005145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Общие к</w:t>
                  </w:r>
                  <w:r w:rsidR="004E2BC3" w:rsidRPr="004E2B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ритерии</w:t>
                  </w:r>
                  <w:r w:rsidR="00BB4B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отбора</w:t>
                  </w:r>
                  <w:r w:rsidR="004E2BC3" w:rsidRPr="004E2B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E2BC3" w:rsidRPr="004E73C6" w:rsidRDefault="004E2BC3" w:rsidP="007F0B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3C6">
                    <w:rPr>
                      <w:rFonts w:ascii="Times New Roman" w:hAnsi="Times New Roman"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4E2BC3" w:rsidRPr="005A7509" w:rsidTr="007F0B05">
              <w:tc>
                <w:tcPr>
                  <w:tcW w:w="3998" w:type="dxa"/>
                  <w:shd w:val="clear" w:color="auto" w:fill="auto"/>
                </w:tcPr>
                <w:p w:rsidR="004E2BC3" w:rsidRPr="00DA4600" w:rsidRDefault="00BB4BC3" w:rsidP="004E2BC3">
                  <w:pPr>
                    <w:pStyle w:val="a6"/>
                    <w:numPr>
                      <w:ilvl w:val="1"/>
                      <w:numId w:val="43"/>
                    </w:numPr>
                    <w:tabs>
                      <w:tab w:val="clear" w:pos="2149"/>
                      <w:tab w:val="num" w:pos="0"/>
                      <w:tab w:val="left" w:pos="277"/>
                      <w:tab w:val="left" w:pos="2400"/>
                    </w:tabs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4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предоставления аналогичных услуг в течение срока, определенного в техническом задании, или существование на рынке оказания аналогичных услуг не менее 3 лет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E2BC3" w:rsidRPr="00DA4600" w:rsidRDefault="00BB4BC3" w:rsidP="007F0B0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4BC3">
                    <w:rPr>
                      <w:rFonts w:ascii="Times New Roman" w:hAnsi="Times New Roman"/>
                      <w:sz w:val="20"/>
                      <w:szCs w:val="20"/>
                    </w:rPr>
                    <w:t>договоры, акты выполненных работ/оказанных услуг, выписка из ЕГРЮЛ/ЕГРИП, проч.</w:t>
                  </w:r>
                </w:p>
              </w:tc>
            </w:tr>
            <w:tr w:rsidR="004E2BC3" w:rsidRPr="005A7509" w:rsidTr="007F0B05">
              <w:tc>
                <w:tcPr>
                  <w:tcW w:w="3998" w:type="dxa"/>
                  <w:shd w:val="clear" w:color="auto" w:fill="auto"/>
                </w:tcPr>
                <w:p w:rsidR="004E2BC3" w:rsidRPr="00DA4600" w:rsidRDefault="00BB4BC3" w:rsidP="004E2BC3">
                  <w:pPr>
                    <w:pStyle w:val="a6"/>
                    <w:numPr>
                      <w:ilvl w:val="0"/>
                      <w:numId w:val="43"/>
                    </w:numPr>
                    <w:tabs>
                      <w:tab w:val="clear" w:pos="1429"/>
                      <w:tab w:val="left" w:pos="335"/>
                      <w:tab w:val="left" w:pos="567"/>
                    </w:tabs>
                    <w:spacing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Предложения об условиях оказания услуг/выполнения работ, которые могут быть направлены на сокращение сроков оказания/выполнения, эффективность оказания услуг/выполнения работ и прочие предложения, влияющие на процесс и качество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оказания услуг/выполнение работ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E2BC3" w:rsidRPr="00DA4600" w:rsidRDefault="00BB4BC3" w:rsidP="007F0B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4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стратегия реализации услуг/работ</w:t>
                  </w:r>
                </w:p>
              </w:tc>
            </w:tr>
            <w:tr w:rsidR="004E2BC3" w:rsidRPr="005A7509" w:rsidTr="007F0B05">
              <w:tc>
                <w:tcPr>
                  <w:tcW w:w="3998" w:type="dxa"/>
                  <w:shd w:val="clear" w:color="auto" w:fill="auto"/>
                </w:tcPr>
                <w:p w:rsidR="004E2BC3" w:rsidRPr="00DA4600" w:rsidRDefault="004E2BC3" w:rsidP="007F0B05">
                  <w:pPr>
                    <w:tabs>
                      <w:tab w:val="left" w:pos="709"/>
                    </w:tabs>
                    <w:spacing w:line="240" w:lineRule="auto"/>
                    <w:ind w:firstLine="3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B4BC3" w:rsidRPr="00BB4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образования/дополнительного обучения, квалификации участника отбора/сотрудников участника, требуемых для оказания соответствующих услуг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E2BC3" w:rsidRPr="00DA4600" w:rsidRDefault="00BB4BC3" w:rsidP="007F0B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4BC3">
                    <w:rPr>
                      <w:rFonts w:ascii="Times New Roman" w:hAnsi="Times New Roman"/>
                      <w:sz w:val="20"/>
                      <w:szCs w:val="20"/>
                    </w:rPr>
                    <w:t>дипломы, сертификаты, проч.</w:t>
                  </w:r>
                </w:p>
              </w:tc>
            </w:tr>
            <w:tr w:rsidR="00BB4BC3" w:rsidRPr="005A7509" w:rsidTr="007F0B05">
              <w:tc>
                <w:tcPr>
                  <w:tcW w:w="3998" w:type="dxa"/>
                  <w:shd w:val="clear" w:color="auto" w:fill="auto"/>
                </w:tcPr>
                <w:p w:rsidR="00BB4BC3" w:rsidRPr="00BB4BC3" w:rsidRDefault="00BB4BC3" w:rsidP="00BB4BC3">
                  <w:pPr>
                    <w:pStyle w:val="a6"/>
                    <w:numPr>
                      <w:ilvl w:val="0"/>
                      <w:numId w:val="43"/>
                    </w:numPr>
                    <w:tabs>
                      <w:tab w:val="clear" w:pos="1429"/>
                      <w:tab w:val="num" w:pos="317"/>
                      <w:tab w:val="left" w:pos="709"/>
                    </w:tabs>
                    <w:spacing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4BC3">
                    <w:rPr>
                      <w:rFonts w:ascii="Times New Roman" w:hAnsi="Times New Roman"/>
                      <w:sz w:val="20"/>
                      <w:szCs w:val="20"/>
                    </w:rPr>
                    <w:t>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BB4BC3" w:rsidRPr="004E2BC3" w:rsidRDefault="00BB4BC3" w:rsidP="007F0B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4BC3">
                    <w:rPr>
                      <w:rFonts w:ascii="Times New Roman" w:hAnsi="Times New Roman"/>
                      <w:sz w:val="20"/>
                      <w:szCs w:val="20"/>
                    </w:rPr>
                    <w:t>благодарственные письма, рекомендации, перечень контрагентов с указанием тел. для связи, проч.</w:t>
                  </w:r>
                </w:p>
              </w:tc>
            </w:tr>
          </w:tbl>
          <w:p w:rsidR="004E2BC3" w:rsidRDefault="004E2BC3" w:rsidP="007F0B05">
            <w:pPr>
              <w:tabs>
                <w:tab w:val="left" w:pos="175"/>
                <w:tab w:val="left" w:pos="1134"/>
              </w:tabs>
              <w:suppressAutoHyphens/>
              <w:ind w:left="175"/>
              <w:contextualSpacing/>
              <w:jc w:val="both"/>
              <w:rPr>
                <w:rFonts w:ascii="Times New Roman" w:hAnsi="Times New Roman"/>
              </w:rPr>
            </w:pP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3118"/>
            </w:tblGrid>
            <w:tr w:rsidR="008A16BB" w:rsidRPr="005A7509" w:rsidTr="007F0B05">
              <w:trPr>
                <w:trHeight w:val="561"/>
              </w:trPr>
              <w:tc>
                <w:tcPr>
                  <w:tcW w:w="3998" w:type="dxa"/>
                  <w:shd w:val="clear" w:color="auto" w:fill="auto"/>
                </w:tcPr>
                <w:p w:rsidR="008A16BB" w:rsidRPr="004E2BC3" w:rsidRDefault="00BB4BC3" w:rsidP="00BB4B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Дополнительные к</w:t>
                  </w:r>
                  <w:r w:rsidR="008A16BB" w:rsidRPr="004E2B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ритерии</w:t>
                  </w:r>
                  <w:r w:rsidR="004130CA" w:rsidRPr="004E2B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для комплексного маркетингового сопровождения: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A16BB" w:rsidRPr="004E73C6" w:rsidRDefault="008A16BB" w:rsidP="007F0B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3C6">
                    <w:rPr>
                      <w:rFonts w:ascii="Times New Roman" w:hAnsi="Times New Roman"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8A16BB" w:rsidRPr="005A7509" w:rsidTr="007F0B05">
              <w:tc>
                <w:tcPr>
                  <w:tcW w:w="3998" w:type="dxa"/>
                  <w:shd w:val="clear" w:color="auto" w:fill="auto"/>
                </w:tcPr>
                <w:p w:rsidR="008A16BB" w:rsidRPr="00DA4600" w:rsidRDefault="004130CA" w:rsidP="008A16BB">
                  <w:pPr>
                    <w:pStyle w:val="a6"/>
                    <w:numPr>
                      <w:ilvl w:val="1"/>
                      <w:numId w:val="43"/>
                    </w:numPr>
                    <w:tabs>
                      <w:tab w:val="clear" w:pos="2149"/>
                      <w:tab w:val="num" w:pos="0"/>
                      <w:tab w:val="left" w:pos="277"/>
                      <w:tab w:val="left" w:pos="2400"/>
                    </w:tabs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30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A16BB" w:rsidRPr="00DA4600" w:rsidRDefault="004130CA" w:rsidP="007F0B0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30CA">
                    <w:rPr>
                      <w:rFonts w:ascii="Times New Roman" w:hAnsi="Times New Roman"/>
                      <w:sz w:val="20"/>
                      <w:szCs w:val="20"/>
                    </w:rPr>
                    <w:t>договоры, в том числе предварительные, письма о сотрудничестве, документы, подтверждающие квалификация и проч.</w:t>
                  </w:r>
                </w:p>
              </w:tc>
            </w:tr>
            <w:tr w:rsidR="008A16BB" w:rsidRPr="005A7509" w:rsidTr="007F0B05">
              <w:tc>
                <w:tcPr>
                  <w:tcW w:w="3998" w:type="dxa"/>
                  <w:shd w:val="clear" w:color="auto" w:fill="auto"/>
                </w:tcPr>
                <w:p w:rsidR="008A16BB" w:rsidRPr="00DA4600" w:rsidRDefault="004130CA" w:rsidP="008A16BB">
                  <w:pPr>
                    <w:pStyle w:val="a6"/>
                    <w:numPr>
                      <w:ilvl w:val="0"/>
                      <w:numId w:val="43"/>
                    </w:numPr>
                    <w:tabs>
                      <w:tab w:val="clear" w:pos="1429"/>
                      <w:tab w:val="left" w:pos="335"/>
                      <w:tab w:val="left" w:pos="567"/>
                    </w:tabs>
                    <w:spacing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0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в штате специалиста по маркетингу и наличие проработанной базы каналов коммуникаций (СМИ, производителей рекламной продукции) и/или наличие в штате специалиста по дизайну рекламной полиграфической продукции (при популяризации путем распространения полиграфической продукции)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A16BB" w:rsidRPr="00DA4600" w:rsidRDefault="004130CA" w:rsidP="007F0B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30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</w:tc>
            </w:tr>
            <w:tr w:rsidR="008A16BB" w:rsidRPr="005A7509" w:rsidTr="007F0B05">
              <w:tc>
                <w:tcPr>
                  <w:tcW w:w="3998" w:type="dxa"/>
                  <w:shd w:val="clear" w:color="auto" w:fill="auto"/>
                </w:tcPr>
                <w:p w:rsidR="008A16BB" w:rsidRPr="00DA4600" w:rsidRDefault="008A16BB" w:rsidP="007F0B05">
                  <w:pPr>
                    <w:tabs>
                      <w:tab w:val="left" w:pos="709"/>
                    </w:tabs>
                    <w:spacing w:line="240" w:lineRule="auto"/>
                    <w:ind w:firstLine="3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E2BC3" w:rsidRPr="004E2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Целевая аудитория и территория охвата </w:t>
                  </w:r>
                  <w:r w:rsidR="004E2BC3" w:rsidRPr="004E2BC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рекламного носителя, посредством которого производится размещение информации, должны соответствовать критериям, указанным ниже - для размещения в средствах массовой информации (при необходимости размещения в СМИ)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A16BB" w:rsidRPr="00DA4600" w:rsidRDefault="004E2BC3" w:rsidP="007F0B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2BC3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информация от СМИ, прочие </w:t>
                  </w:r>
                  <w:r w:rsidRPr="004E2BC3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документы</w:t>
                  </w:r>
                </w:p>
              </w:tc>
            </w:tr>
            <w:tr w:rsidR="008A16BB" w:rsidRPr="004E73C6" w:rsidTr="007F0B05">
              <w:tc>
                <w:tcPr>
                  <w:tcW w:w="7116" w:type="dxa"/>
                  <w:gridSpan w:val="2"/>
                  <w:shd w:val="clear" w:color="auto" w:fill="auto"/>
                </w:tcPr>
                <w:p w:rsidR="008A16BB" w:rsidRPr="004E73C6" w:rsidRDefault="004E2BC3" w:rsidP="004E2B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2BC3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Минимальный размер соответствия требованиям, определенным в качестве критериев для оценки участника процедуры отбора исполнителей при комплексном маркетинговом сопровождения – 85,7%.</w:t>
                  </w:r>
                </w:p>
              </w:tc>
            </w:tr>
          </w:tbl>
          <w:p w:rsidR="008A16BB" w:rsidRDefault="008A16BB" w:rsidP="007F0B05">
            <w:pPr>
              <w:tabs>
                <w:tab w:val="left" w:pos="175"/>
                <w:tab w:val="left" w:pos="1134"/>
              </w:tabs>
              <w:suppressAutoHyphens/>
              <w:ind w:left="175"/>
              <w:contextualSpacing/>
              <w:jc w:val="both"/>
              <w:rPr>
                <w:rFonts w:ascii="Times New Roman" w:hAnsi="Times New Roman"/>
              </w:rPr>
            </w:pP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3118"/>
            </w:tblGrid>
            <w:tr w:rsidR="004E2BC3" w:rsidRPr="005A7509" w:rsidTr="007F0B05">
              <w:trPr>
                <w:trHeight w:val="561"/>
              </w:trPr>
              <w:tc>
                <w:tcPr>
                  <w:tcW w:w="3998" w:type="dxa"/>
                  <w:shd w:val="clear" w:color="auto" w:fill="auto"/>
                </w:tcPr>
                <w:p w:rsidR="004E2BC3" w:rsidRPr="004E73C6" w:rsidRDefault="00BB4BC3" w:rsidP="00BB4B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Дополнительные к</w:t>
                  </w:r>
                  <w:r w:rsidR="004E2BC3" w:rsidRPr="004E2B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ритерии для размещения в средствах массовой информации</w:t>
                  </w:r>
                  <w:r w:rsidR="004E2BC3" w:rsidRPr="004E2BC3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E2BC3" w:rsidRPr="004E73C6" w:rsidRDefault="004E2BC3" w:rsidP="007F0B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3C6">
                    <w:rPr>
                      <w:rFonts w:ascii="Times New Roman" w:hAnsi="Times New Roman"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4E2BC3" w:rsidRPr="005A7509" w:rsidTr="007F0B05">
              <w:tc>
                <w:tcPr>
                  <w:tcW w:w="3998" w:type="dxa"/>
                  <w:shd w:val="clear" w:color="auto" w:fill="auto"/>
                </w:tcPr>
                <w:p w:rsidR="004E2BC3" w:rsidRPr="00DA4600" w:rsidRDefault="004E2BC3" w:rsidP="007F0B05">
                  <w:pPr>
                    <w:pStyle w:val="a6"/>
                    <w:numPr>
                      <w:ilvl w:val="1"/>
                      <w:numId w:val="43"/>
                    </w:numPr>
                    <w:tabs>
                      <w:tab w:val="clear" w:pos="2149"/>
                      <w:tab w:val="num" w:pos="0"/>
                      <w:tab w:val="left" w:pos="277"/>
                      <w:tab w:val="left" w:pos="2400"/>
                    </w:tabs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2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размещении информации на телеканалах: охват аудитории от 300 000 человек населения субъекта Российской Федерации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E2BC3" w:rsidRPr="00DA4600" w:rsidRDefault="004E2BC3" w:rsidP="007F0B0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2BC3">
                    <w:rPr>
                      <w:rFonts w:ascii="Times New Roman" w:hAnsi="Times New Roman"/>
                      <w:sz w:val="20"/>
                      <w:szCs w:val="20"/>
                    </w:rPr>
                    <w:t>информация от СМИ, прочие документы</w:t>
                  </w:r>
                </w:p>
              </w:tc>
            </w:tr>
            <w:tr w:rsidR="004E2BC3" w:rsidRPr="005A7509" w:rsidTr="007F0B05">
              <w:tc>
                <w:tcPr>
                  <w:tcW w:w="3998" w:type="dxa"/>
                  <w:shd w:val="clear" w:color="auto" w:fill="auto"/>
                </w:tcPr>
                <w:p w:rsidR="004E2BC3" w:rsidRPr="004E2BC3" w:rsidRDefault="004E2BC3" w:rsidP="004E2BC3">
                  <w:pPr>
                    <w:pStyle w:val="a6"/>
                    <w:numPr>
                      <w:ilvl w:val="1"/>
                      <w:numId w:val="43"/>
                    </w:numPr>
                    <w:tabs>
                      <w:tab w:val="clear" w:pos="2149"/>
                      <w:tab w:val="left" w:pos="335"/>
                      <w:tab w:val="left" w:pos="567"/>
                      <w:tab w:val="num" w:pos="1876"/>
                    </w:tabs>
                    <w:spacing w:line="240" w:lineRule="auto"/>
                    <w:ind w:left="34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размещении информации в печатных изданиях: еженедельный тираж издания от 10 000 экземпляров либо в территорию охвата печатного издания должна входить территория населенного пункта (административно-территориальной единицы), в котором находится (осуществляет деятельность) субъект малого и среднего предпринимательства (при необходимости размещения информации на территории сельских населенных пунктов)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E2BC3" w:rsidRPr="00DA4600" w:rsidRDefault="004E2BC3" w:rsidP="007F0B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2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от СМИ, прочие документы</w:t>
                  </w:r>
                </w:p>
              </w:tc>
            </w:tr>
            <w:tr w:rsidR="004E2BC3" w:rsidRPr="005A7509" w:rsidTr="007F0B05">
              <w:tc>
                <w:tcPr>
                  <w:tcW w:w="3998" w:type="dxa"/>
                  <w:shd w:val="clear" w:color="auto" w:fill="auto"/>
                </w:tcPr>
                <w:p w:rsidR="004E2BC3" w:rsidRPr="00DA4600" w:rsidRDefault="004E2BC3" w:rsidP="007F0B05">
                  <w:pPr>
                    <w:tabs>
                      <w:tab w:val="left" w:pos="709"/>
                    </w:tabs>
                    <w:spacing w:line="240" w:lineRule="auto"/>
                    <w:ind w:firstLine="3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E2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размещении на радио: охват аудитории от 300 000 человек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E2BC3" w:rsidRPr="00DA4600" w:rsidRDefault="004E2BC3" w:rsidP="007F0B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2BC3">
                    <w:rPr>
                      <w:rFonts w:ascii="Times New Roman" w:hAnsi="Times New Roman"/>
                      <w:sz w:val="20"/>
                      <w:szCs w:val="20"/>
                    </w:rPr>
                    <w:t>информация от СМИ, прочие документы</w:t>
                  </w:r>
                </w:p>
              </w:tc>
            </w:tr>
            <w:tr w:rsidR="004E2BC3" w:rsidRPr="005A7509" w:rsidTr="007F0B05">
              <w:tc>
                <w:tcPr>
                  <w:tcW w:w="3998" w:type="dxa"/>
                  <w:shd w:val="clear" w:color="auto" w:fill="auto"/>
                </w:tcPr>
                <w:p w:rsidR="004E2BC3" w:rsidRPr="004E2BC3" w:rsidRDefault="004E2BC3" w:rsidP="004E2BC3">
                  <w:pPr>
                    <w:pStyle w:val="a6"/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2BC3">
                    <w:rPr>
                      <w:rFonts w:ascii="Times New Roman" w:hAnsi="Times New Roman"/>
                      <w:sz w:val="20"/>
                      <w:szCs w:val="20"/>
                    </w:rPr>
                    <w:t>При размещении информации в информационно-коммуникационной сети «Интернет»: суточная посещаемость свыше 3000 человек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E2BC3" w:rsidRPr="004E2BC3" w:rsidRDefault="004E2BC3" w:rsidP="007F0B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2BC3">
                    <w:rPr>
                      <w:rFonts w:ascii="Times New Roman" w:hAnsi="Times New Roman"/>
                      <w:sz w:val="20"/>
                      <w:szCs w:val="20"/>
                    </w:rPr>
                    <w:t>информация от СМИ, прочие документы</w:t>
                  </w:r>
                </w:p>
              </w:tc>
            </w:tr>
            <w:tr w:rsidR="004E2BC3" w:rsidRPr="004E73C6" w:rsidTr="007F0B05">
              <w:tc>
                <w:tcPr>
                  <w:tcW w:w="7116" w:type="dxa"/>
                  <w:gridSpan w:val="2"/>
                  <w:shd w:val="clear" w:color="auto" w:fill="auto"/>
                </w:tcPr>
                <w:p w:rsidR="004E2BC3" w:rsidRPr="004E73C6" w:rsidRDefault="004E2BC3" w:rsidP="007F0B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2BC3">
                    <w:rPr>
                      <w:rFonts w:ascii="Times New Roman" w:hAnsi="Times New Roman"/>
                      <w:sz w:val="20"/>
                      <w:szCs w:val="20"/>
                    </w:rPr>
                    <w:t>Минимальный размер соответствия требованиям, определенным в качестве критериев для оценки участника процедуры отбора исполнителей при размещении в средствах массовой информации – 80%.</w:t>
                  </w:r>
                </w:p>
              </w:tc>
            </w:tr>
          </w:tbl>
          <w:p w:rsidR="004E2BC3" w:rsidRDefault="004E2BC3" w:rsidP="007F0B05">
            <w:pPr>
              <w:tabs>
                <w:tab w:val="left" w:pos="2400"/>
              </w:tabs>
              <w:jc w:val="both"/>
              <w:rPr>
                <w:rFonts w:ascii="Times New Roman" w:hAnsi="Times New Roman"/>
              </w:rPr>
            </w:pP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3118"/>
            </w:tblGrid>
            <w:tr w:rsidR="00BB4BC3" w:rsidRPr="005A7509" w:rsidTr="007F0B05">
              <w:trPr>
                <w:trHeight w:val="561"/>
              </w:trPr>
              <w:tc>
                <w:tcPr>
                  <w:tcW w:w="3998" w:type="dxa"/>
                  <w:shd w:val="clear" w:color="auto" w:fill="auto"/>
                </w:tcPr>
                <w:p w:rsidR="00BB4BC3" w:rsidRPr="004E73C6" w:rsidRDefault="00BB4BC3" w:rsidP="00BB4B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Дополнительные к</w:t>
                  </w:r>
                  <w:r w:rsidRPr="004E2B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ритерии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</w:t>
                  </w:r>
                  <w:r w:rsidRPr="00BB4B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ля размещения информации на полиграфической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r w:rsidRPr="00BB4B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родукции/полиграфических изданиях (буклеты, каталоги, листовки, баннеры и проч.</w:t>
                  </w:r>
                  <w:r w:rsidRPr="004E2BC3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BB4BC3" w:rsidRPr="004E73C6" w:rsidRDefault="00BB4BC3" w:rsidP="007F0B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3C6">
                    <w:rPr>
                      <w:rFonts w:ascii="Times New Roman" w:hAnsi="Times New Roman"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BB4BC3" w:rsidRPr="005A7509" w:rsidTr="007F0B05">
              <w:tc>
                <w:tcPr>
                  <w:tcW w:w="3998" w:type="dxa"/>
                  <w:shd w:val="clear" w:color="auto" w:fill="auto"/>
                </w:tcPr>
                <w:p w:rsidR="00BB4BC3" w:rsidRPr="00DA4600" w:rsidRDefault="00BB4BC3" w:rsidP="00BB4BC3">
                  <w:pPr>
                    <w:pStyle w:val="a6"/>
                    <w:numPr>
                      <w:ilvl w:val="2"/>
                      <w:numId w:val="43"/>
                    </w:numPr>
                    <w:tabs>
                      <w:tab w:val="clear" w:pos="2869"/>
                      <w:tab w:val="left" w:pos="277"/>
                      <w:tab w:val="num" w:pos="884"/>
                      <w:tab w:val="left" w:pos="240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4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в штате специалиста по дизайну рекламной полиграфической продукции (подтверждающие документы: выписка из штатного расписания, копии трудовых договоров, выкопировка из трудовой книжки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BB4BC3" w:rsidRPr="00DA4600" w:rsidRDefault="00BB4BC3" w:rsidP="007F0B0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4BC3">
                    <w:rPr>
                      <w:rFonts w:ascii="Times New Roman" w:hAnsi="Times New Roman"/>
                      <w:sz w:val="20"/>
                      <w:szCs w:val="20"/>
                    </w:rPr>
                    <w:t>при наличии согласия работника</w:t>
                  </w:r>
                </w:p>
              </w:tc>
            </w:tr>
            <w:tr w:rsidR="00BB4BC3" w:rsidRPr="005A7509" w:rsidTr="007F0B05">
              <w:tc>
                <w:tcPr>
                  <w:tcW w:w="3998" w:type="dxa"/>
                  <w:shd w:val="clear" w:color="auto" w:fill="auto"/>
                </w:tcPr>
                <w:p w:rsidR="00BB4BC3" w:rsidRPr="004E2BC3" w:rsidRDefault="00BB4BC3" w:rsidP="00BB4BC3">
                  <w:pPr>
                    <w:pStyle w:val="a6"/>
                    <w:numPr>
                      <w:ilvl w:val="2"/>
                      <w:numId w:val="43"/>
                    </w:numPr>
                    <w:tabs>
                      <w:tab w:val="clear" w:pos="2869"/>
                      <w:tab w:val="num" w:pos="175"/>
                      <w:tab w:val="left" w:pos="335"/>
                      <w:tab w:val="left" w:pos="567"/>
                    </w:tabs>
                    <w:spacing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B4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оборудования (подтверждающие документы: собственного, арендованного) для изготовления полиграфической продукции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BB4BC3" w:rsidRPr="00DA4600" w:rsidRDefault="00BB4BC3" w:rsidP="007F0B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4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 договоров купли-продажи, аренды проч.</w:t>
                  </w:r>
                </w:p>
              </w:tc>
            </w:tr>
            <w:tr w:rsidR="00BB4BC3" w:rsidRPr="004E73C6" w:rsidTr="007F0B05">
              <w:tc>
                <w:tcPr>
                  <w:tcW w:w="7116" w:type="dxa"/>
                  <w:gridSpan w:val="2"/>
                  <w:shd w:val="clear" w:color="auto" w:fill="auto"/>
                </w:tcPr>
                <w:p w:rsidR="00BB4BC3" w:rsidRPr="004E73C6" w:rsidRDefault="00BB4BC3" w:rsidP="00BB4B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4BC3">
                    <w:rPr>
                      <w:rFonts w:ascii="Times New Roman" w:hAnsi="Times New Roman"/>
                      <w:sz w:val="20"/>
                      <w:szCs w:val="20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исполнителей при размещении информации на полиграфической продукции/полиграфических </w:t>
                  </w:r>
                  <w:r w:rsidRPr="00BB4BC3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изданиях (буклеты, каталоги, листовки, баннеры и проч.) – 100%</w:t>
                  </w:r>
                </w:p>
              </w:tc>
            </w:tr>
          </w:tbl>
          <w:p w:rsidR="00BB4BC3" w:rsidRDefault="00BB4BC3" w:rsidP="007F0B05">
            <w:pPr>
              <w:tabs>
                <w:tab w:val="left" w:pos="2400"/>
              </w:tabs>
              <w:jc w:val="both"/>
              <w:rPr>
                <w:rFonts w:ascii="Times New Roman" w:hAnsi="Times New Roman"/>
              </w:rPr>
            </w:pPr>
          </w:p>
          <w:p w:rsidR="008A16BB" w:rsidRDefault="008A16BB" w:rsidP="007F0B05">
            <w:pPr>
              <w:tabs>
                <w:tab w:val="left" w:pos="2400"/>
              </w:tabs>
              <w:jc w:val="both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 xml:space="preserve"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A16BB" w:rsidRPr="00A968CE" w:rsidRDefault="008A16BB" w:rsidP="007F0B05">
            <w:pPr>
              <w:pStyle w:val="a6"/>
              <w:tabs>
                <w:tab w:val="left" w:pos="2400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16BB" w:rsidRPr="00A96C18" w:rsidTr="00EE4AE6">
        <w:tc>
          <w:tcPr>
            <w:tcW w:w="1980" w:type="dxa"/>
          </w:tcPr>
          <w:p w:rsidR="008A16BB" w:rsidRPr="00A96C18" w:rsidRDefault="008A16BB" w:rsidP="002A339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1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получателям услуги</w:t>
            </w:r>
          </w:p>
        </w:tc>
        <w:tc>
          <w:tcPr>
            <w:tcW w:w="7626" w:type="dxa"/>
          </w:tcPr>
          <w:p w:rsidR="008A16BB" w:rsidRDefault="008A16BB" w:rsidP="00B724F8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eastAsia="Calibri" w:hAnsi="Times New Roman" w:cs="Times New Roman"/>
                <w:sz w:val="24"/>
                <w:szCs w:val="24"/>
              </w:rPr>
              <w:t>Услуги оказываются субъектам малого и среднего предпринимательства</w:t>
            </w:r>
            <w:r w:rsidR="00AB1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073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1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лицам, индивидуальным предпринимателям. </w:t>
            </w:r>
          </w:p>
          <w:p w:rsidR="008A16BB" w:rsidRPr="00A96C18" w:rsidRDefault="008A16BB" w:rsidP="00B724F8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допускается повторное оказание услуг одному и тому же СМСП в рамках договора, т.е. услуги по содействию в популяризации предоставляются по схеме: 1 СМСП – 1 получатель услуги. </w:t>
            </w:r>
          </w:p>
          <w:p w:rsidR="008A16BB" w:rsidRPr="00A96C18" w:rsidRDefault="008A16BB" w:rsidP="00B724F8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6C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Получатель услуг (субъект МСП), оказываемых Исполнителем, по настоящему техническому заданию, соответствует требованиям:</w:t>
            </w:r>
          </w:p>
          <w:p w:rsidR="008A16BB" w:rsidRPr="00A96C18" w:rsidRDefault="008A16BB" w:rsidP="00B724F8">
            <w:pPr>
              <w:numPr>
                <w:ilvl w:val="0"/>
                <w:numId w:val="24"/>
              </w:numPr>
              <w:tabs>
                <w:tab w:val="left" w:pos="360"/>
              </w:tabs>
              <w:ind w:left="25" w:firstLine="3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18">
              <w:rPr>
                <w:rFonts w:ascii="Times New Roman" w:hAnsi="Times New Roman"/>
                <w:sz w:val="24"/>
                <w:szCs w:val="24"/>
              </w:rPr>
              <w:t>является субъектом малого и среднего предпринимательства, зарегистрированным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предпринимательства;</w:t>
            </w:r>
          </w:p>
          <w:p w:rsidR="008A16BB" w:rsidRPr="00A96C18" w:rsidRDefault="008A16BB" w:rsidP="0089559D">
            <w:pPr>
              <w:numPr>
                <w:ilvl w:val="0"/>
                <w:numId w:val="24"/>
              </w:numPr>
              <w:tabs>
                <w:tab w:val="left" w:pos="360"/>
              </w:tabs>
              <w:ind w:left="25" w:firstLine="3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18">
              <w:rPr>
                <w:rFonts w:ascii="Times New Roman" w:hAnsi="Times New Roman"/>
                <w:sz w:val="24"/>
                <w:szCs w:val="24"/>
              </w:rPr>
              <w:t xml:space="preserve">зарегистрирован в Едином реестре субъектов малого и среднего предпринимательства на официальном сайте Федеральной налоговой службы (https://rmsp.nalog.ru); </w:t>
            </w:r>
          </w:p>
          <w:p w:rsidR="008A16BB" w:rsidRPr="00A96C18" w:rsidRDefault="008A16BB" w:rsidP="0089559D">
            <w:pPr>
              <w:numPr>
                <w:ilvl w:val="0"/>
                <w:numId w:val="24"/>
              </w:numPr>
              <w:tabs>
                <w:tab w:val="left" w:pos="360"/>
              </w:tabs>
              <w:ind w:left="25" w:firstLine="3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18">
              <w:rPr>
                <w:rFonts w:ascii="Times New Roman" w:hAnsi="Times New Roman"/>
                <w:sz w:val="24"/>
                <w:szCs w:val="24"/>
              </w:rPr>
              <w:t>правомочен заключать договор в соответствии с действующим законодательством Российской Федерации;</w:t>
            </w:r>
          </w:p>
          <w:p w:rsidR="008A16BB" w:rsidRPr="00A96C18" w:rsidRDefault="008A16BB" w:rsidP="00B724F8">
            <w:pPr>
              <w:numPr>
                <w:ilvl w:val="0"/>
                <w:numId w:val="24"/>
              </w:numPr>
              <w:tabs>
                <w:tab w:val="left" w:pos="360"/>
              </w:tabs>
              <w:ind w:left="25" w:firstLine="3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18">
              <w:rPr>
                <w:rFonts w:ascii="Times New Roman" w:hAnsi="Times New Roman"/>
                <w:sz w:val="24"/>
                <w:szCs w:val="24"/>
              </w:rPr>
              <w:t>в отношении получателя услуг – субъекта МСП, не должна проводиться процедура ликвидации, должно отсутствовать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8A16BB" w:rsidRPr="00A96C18" w:rsidRDefault="008A16BB" w:rsidP="00B724F8">
            <w:pPr>
              <w:numPr>
                <w:ilvl w:val="0"/>
                <w:numId w:val="24"/>
              </w:numPr>
              <w:tabs>
                <w:tab w:val="left" w:pos="360"/>
              </w:tabs>
              <w:ind w:left="25" w:firstLine="3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18">
              <w:rPr>
                <w:rFonts w:ascii="Times New Roman" w:hAnsi="Times New Roman"/>
                <w:sz w:val="24"/>
                <w:szCs w:val="24"/>
              </w:rPr>
              <w:t>деятельность получателя услуг не должна быть приостановлена в порядке, установленном Кодексом Российской Федерации об административных правонарушениях, на дату подачи документов;</w:t>
            </w:r>
          </w:p>
          <w:p w:rsidR="008A16BB" w:rsidRPr="00A96C18" w:rsidRDefault="008A16BB" w:rsidP="00B724F8">
            <w:pPr>
              <w:numPr>
                <w:ilvl w:val="0"/>
                <w:numId w:val="24"/>
              </w:numPr>
              <w:tabs>
                <w:tab w:val="left" w:pos="308"/>
              </w:tabs>
              <w:ind w:left="25" w:firstLine="20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18">
              <w:rPr>
                <w:rFonts w:ascii="Times New Roman" w:hAnsi="Times New Roman"/>
                <w:sz w:val="24"/>
                <w:szCs w:val="24"/>
              </w:rPr>
              <w:t>в отношении Заявителя должны отсутствовать сведения о нарушениях в Едином реестре получателей поддержки;</w:t>
            </w:r>
          </w:p>
          <w:p w:rsidR="008A16BB" w:rsidRPr="00A96C18" w:rsidRDefault="008A16BB" w:rsidP="00B724F8">
            <w:pPr>
              <w:numPr>
                <w:ilvl w:val="0"/>
                <w:numId w:val="24"/>
              </w:numPr>
              <w:tabs>
                <w:tab w:val="left" w:pos="308"/>
              </w:tabs>
              <w:ind w:left="25" w:firstLine="20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18">
              <w:rPr>
                <w:rFonts w:ascii="Times New Roman" w:hAnsi="Times New Roman"/>
                <w:sz w:val="24"/>
                <w:szCs w:val="24"/>
              </w:rPr>
              <w:t>не является субъектом, подпадающим под условия п.3, п.4 ст.14 Федерального закона от 24.07.2007 N 209-ФЗ (ред. от 03.07.2016) «О развитии малого и среднего предпринимательства в Российской Федерации» (с изм. и доп.);</w:t>
            </w:r>
          </w:p>
          <w:p w:rsidR="008A16BB" w:rsidRPr="00A96C18" w:rsidRDefault="008A16BB" w:rsidP="00FF7ADA">
            <w:pPr>
              <w:numPr>
                <w:ilvl w:val="0"/>
                <w:numId w:val="24"/>
              </w:numPr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/>
                <w:sz w:val="24"/>
                <w:szCs w:val="24"/>
              </w:rPr>
              <w:t>не состоит в одной группе лиц с Исполнителем, при этом относимость к группе лиц определяется в соответствии с Федеральным законом от 26 июля 2006 г. № 135-ФЗ «О защите конкуренции» (с изм. и доп.).</w:t>
            </w:r>
          </w:p>
        </w:tc>
      </w:tr>
      <w:tr w:rsidR="000737CA" w:rsidRPr="00A96C18" w:rsidTr="00EE4AE6">
        <w:tc>
          <w:tcPr>
            <w:tcW w:w="1980" w:type="dxa"/>
          </w:tcPr>
          <w:p w:rsidR="000737CA" w:rsidRPr="00A96C18" w:rsidRDefault="000737CA" w:rsidP="002A339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оказания услуг</w:t>
            </w:r>
          </w:p>
        </w:tc>
        <w:tc>
          <w:tcPr>
            <w:tcW w:w="7626" w:type="dxa"/>
          </w:tcPr>
          <w:p w:rsidR="00AF03DF" w:rsidRDefault="00AF03DF" w:rsidP="000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дает обязательство, что </w:t>
            </w:r>
            <w:r w:rsidRPr="00A96C18">
              <w:rPr>
                <w:rFonts w:ascii="Times New Roman" w:hAnsi="Times New Roman"/>
                <w:sz w:val="24"/>
                <w:szCs w:val="24"/>
              </w:rPr>
              <w:t xml:space="preserve">не состоит в одной группе лиц с </w:t>
            </w:r>
            <w:r>
              <w:rPr>
                <w:rFonts w:ascii="Times New Roman" w:hAnsi="Times New Roman"/>
                <w:sz w:val="24"/>
                <w:szCs w:val="24"/>
              </w:rPr>
              <w:t>получателем услуг</w:t>
            </w:r>
            <w:r w:rsidRPr="00A96C18">
              <w:rPr>
                <w:rFonts w:ascii="Times New Roman" w:hAnsi="Times New Roman"/>
                <w:sz w:val="24"/>
                <w:szCs w:val="24"/>
              </w:rPr>
              <w:t>, при этом относимость к группе лиц определяется в соответствии с Федеральным законом от 26 июля 2006 г. № 135-ФЗ «О защите конкуренции» (с изм. и доп.).</w:t>
            </w:r>
          </w:p>
          <w:p w:rsidR="000737CA" w:rsidRDefault="000737CA" w:rsidP="000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заявления на получение услуг по </w:t>
            </w:r>
            <w:r w:rsidRPr="000737CA">
              <w:rPr>
                <w:rFonts w:ascii="Times New Roman" w:hAnsi="Times New Roman" w:cs="Times New Roman"/>
                <w:sz w:val="24"/>
                <w:szCs w:val="24"/>
              </w:rPr>
              <w:t>комплексному маркетинговому сопровождению субъектов МСП, направленн</w:t>
            </w:r>
            <w:r w:rsidRPr="000737C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37CA">
              <w:rPr>
                <w:rFonts w:ascii="Times New Roman" w:hAnsi="Times New Roman" w:cs="Times New Roman"/>
                <w:sz w:val="24"/>
                <w:szCs w:val="24"/>
              </w:rPr>
              <w:t xml:space="preserve"> на популяризацию продукции субъектов малого и среднего предпринимательства</w:t>
            </w:r>
            <w:r w:rsidRPr="000737CA">
              <w:rPr>
                <w:rFonts w:ascii="Times New Roman" w:hAnsi="Times New Roman" w:cs="Times New Roman"/>
                <w:sz w:val="24"/>
                <w:szCs w:val="24"/>
              </w:rPr>
              <w:t xml:space="preserve">, заказчик направляет субъекта МСП – получателя услуги, к исполнителю для разработки маркетингового плана. </w:t>
            </w:r>
          </w:p>
          <w:p w:rsidR="000737CA" w:rsidRPr="000737CA" w:rsidRDefault="000737CA" w:rsidP="000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популяризацию продукции (услуг) субъекта МСП производятся в соответствии с разработанным маркетинговым планов, согласованным с Заказчиком, </w:t>
            </w:r>
            <w:r w:rsidR="00701E85">
              <w:rPr>
                <w:rFonts w:ascii="Times New Roman" w:hAnsi="Times New Roman" w:cs="Times New Roman"/>
                <w:sz w:val="24"/>
                <w:szCs w:val="24"/>
              </w:rPr>
              <w:t xml:space="preserve">но в пределах объемов, указанных в разделе «Описание услуг» настоящего технического задания. </w:t>
            </w:r>
          </w:p>
          <w:p w:rsidR="000737CA" w:rsidRPr="00701E85" w:rsidRDefault="00701E85" w:rsidP="000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85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окончанию оказания услуг, направленных на популяризацию продукции (услуг), Исполнитель обязан </w:t>
            </w:r>
            <w:r w:rsidR="000737CA" w:rsidRPr="00701E85">
              <w:rPr>
                <w:rFonts w:ascii="Times New Roman" w:hAnsi="Times New Roman" w:cs="Times New Roman"/>
                <w:sz w:val="24"/>
                <w:szCs w:val="24"/>
              </w:rPr>
              <w:t xml:space="preserve">подписать у получателя услуг трёхсторонний акт приемки оказанных услуг. </w:t>
            </w:r>
          </w:p>
          <w:p w:rsidR="000737CA" w:rsidRPr="00A96C18" w:rsidRDefault="000737CA" w:rsidP="00B724F8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6BB" w:rsidRPr="00A96C18" w:rsidTr="00EE4AE6">
        <w:tc>
          <w:tcPr>
            <w:tcW w:w="1980" w:type="dxa"/>
          </w:tcPr>
          <w:p w:rsidR="008A16BB" w:rsidRPr="00A96C18" w:rsidRDefault="008A16BB" w:rsidP="00733765">
            <w:pPr>
              <w:rPr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оплаты </w:t>
            </w:r>
          </w:p>
        </w:tc>
        <w:tc>
          <w:tcPr>
            <w:tcW w:w="7626" w:type="dxa"/>
          </w:tcPr>
          <w:p w:rsidR="008A16BB" w:rsidRPr="00A96C18" w:rsidRDefault="002C3C44" w:rsidP="00701E85">
            <w:pPr>
              <w:jc w:val="both"/>
              <w:rPr>
                <w:sz w:val="24"/>
                <w:szCs w:val="24"/>
              </w:rPr>
            </w:pPr>
            <w:r w:rsidRPr="002C3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Оплата оказанных исполнителем услуг производится заказчиком путем перечисления денежных средств на банковский счет исполнителя </w:t>
            </w:r>
            <w:r w:rsidR="00701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сроки и на условиях, согласованных сторонами в договоре. Предоплата за услуги не может превышать </w:t>
            </w:r>
            <w:r w:rsidR="00DF7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50% от стоимости услуг по комплексному маркетинговому сопровождению.  </w:t>
            </w:r>
          </w:p>
        </w:tc>
      </w:tr>
      <w:tr w:rsidR="008A16BB" w:rsidRPr="00A96C18" w:rsidTr="00EE4AE6">
        <w:tc>
          <w:tcPr>
            <w:tcW w:w="1980" w:type="dxa"/>
          </w:tcPr>
          <w:p w:rsidR="008A16BB" w:rsidRPr="00A96C18" w:rsidRDefault="008A16BB" w:rsidP="0073376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сдачи-приемки результатов </w:t>
            </w:r>
            <w:r w:rsidRPr="00A96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7626" w:type="dxa"/>
          </w:tcPr>
          <w:p w:rsidR="002C3C44" w:rsidRPr="002C3C44" w:rsidRDefault="002C3C44" w:rsidP="002C3C4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 периодом по заключаемому с исполнителем договору возмездного оказания услуг является календарный месяц.</w:t>
            </w:r>
          </w:p>
          <w:p w:rsidR="002C3C44" w:rsidRPr="002C3C44" w:rsidRDefault="002C3C44" w:rsidP="002C3C4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4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трех рабочих дней месяца, следующего за отчетным, </w:t>
            </w:r>
            <w:r w:rsidRPr="002C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предоставляет заказчику подписанный со своей стороны Акт сдачи-приемки оказанных услуг с приложением оригиналов следующих документов:</w:t>
            </w:r>
          </w:p>
          <w:p w:rsidR="00AB122F" w:rsidRDefault="002C3C44" w:rsidP="002C3C4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4">
              <w:rPr>
                <w:rFonts w:ascii="Times New Roman" w:hAnsi="Times New Roman" w:cs="Times New Roman"/>
                <w:sz w:val="24"/>
                <w:szCs w:val="24"/>
              </w:rPr>
              <w:t>- реестр субъектов малого и среднего предпринимательства, получивших услуги за отчетный период, в электронном и бумажном виде</w:t>
            </w:r>
            <w:r w:rsidR="00DF7370">
              <w:rPr>
                <w:rFonts w:ascii="Times New Roman" w:hAnsi="Times New Roman" w:cs="Times New Roman"/>
                <w:sz w:val="24"/>
                <w:szCs w:val="24"/>
              </w:rPr>
              <w:t>, по форме утвержденной заказчиком</w:t>
            </w:r>
            <w:r w:rsidRPr="002C3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C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C44" w:rsidRDefault="00AB122F" w:rsidP="002C3C4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7370">
              <w:rPr>
                <w:rFonts w:ascii="Times New Roman" w:hAnsi="Times New Roman" w:cs="Times New Roman"/>
                <w:sz w:val="24"/>
                <w:szCs w:val="24"/>
              </w:rPr>
              <w:t>трехсторонние а</w:t>
            </w:r>
            <w:r w:rsidRPr="00AB1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5C64E9" w:rsidRPr="00AB1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оказанных услуг, подписанные субъектом МСП и исполнителем</w:t>
            </w:r>
            <w:r w:rsidR="00DF7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заказчиком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F7370" w:rsidRPr="002C3C44" w:rsidRDefault="00DF7370" w:rsidP="002C3C4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отчет об оказании комплекса маркетинговых услуг с приложением следующих документов: - эфирных справок, экземпляров печатных СМИ, образцов </w:t>
            </w: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печатных рекламно-информационных материалов (брошюр, буклетов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листовки</w:t>
            </w: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копий актов (товарных накладных), подтверждающих приемку полиграфических материалов, скрины с сайтов, на которых размещались интернет-баннеры с датой первого дня размещения и последнего дня размещения</w:t>
            </w:r>
            <w:r w:rsidR="00BC4DA3">
              <w:rPr>
                <w:rFonts w:ascii="Times New Roman" w:hAnsi="Times New Roman" w:cs="Times New Roman"/>
                <w:sz w:val="24"/>
                <w:szCs w:val="24"/>
              </w:rPr>
              <w:t xml:space="preserve">, прочих документов, подтверждающих объем оказанных услуг.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3C44" w:rsidRPr="002C3C44" w:rsidRDefault="002C3C44" w:rsidP="002C3C4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4">
              <w:rPr>
                <w:rFonts w:ascii="Times New Roman" w:hAnsi="Times New Roman" w:cs="Times New Roman"/>
                <w:sz w:val="24"/>
                <w:szCs w:val="24"/>
              </w:rPr>
              <w:t>- счет на оплату оказанных за отчетный период услуг.</w:t>
            </w:r>
          </w:p>
          <w:p w:rsidR="008A16BB" w:rsidRPr="00A96C18" w:rsidRDefault="002C3C44" w:rsidP="002C3C4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C44">
              <w:rPr>
                <w:rFonts w:ascii="Times New Roman" w:hAnsi="Times New Roman" w:cs="Times New Roman"/>
                <w:sz w:val="24"/>
                <w:szCs w:val="24"/>
              </w:rPr>
              <w:t>В случае если в отчетном периоде услуги не оказываются, акт сдачи-приема оказанных услуг не составляется, услуги не оплачиваются.</w:t>
            </w:r>
          </w:p>
        </w:tc>
      </w:tr>
      <w:tr w:rsidR="008A16BB" w:rsidRPr="00A96C18" w:rsidTr="00EE4AE6">
        <w:tc>
          <w:tcPr>
            <w:tcW w:w="1980" w:type="dxa"/>
          </w:tcPr>
          <w:p w:rsidR="008A16BB" w:rsidRPr="00A96C18" w:rsidRDefault="008A16BB" w:rsidP="00C451D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услуг (включая все взносы/расходы исполнителя, связанные с оказанием услуг) </w:t>
            </w:r>
          </w:p>
        </w:tc>
        <w:tc>
          <w:tcPr>
            <w:tcW w:w="7626" w:type="dxa"/>
          </w:tcPr>
          <w:p w:rsidR="008A16BB" w:rsidRPr="00C451D6" w:rsidRDefault="008A16BB" w:rsidP="00BC4DA3">
            <w:pPr>
              <w:pStyle w:val="a6"/>
              <w:numPr>
                <w:ilvl w:val="3"/>
                <w:numId w:val="43"/>
              </w:numPr>
              <w:tabs>
                <w:tab w:val="clear" w:pos="3589"/>
                <w:tab w:val="num" w:pos="5"/>
                <w:tab w:val="left" w:pos="570"/>
                <w:tab w:val="left" w:pos="2070"/>
              </w:tabs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6">
              <w:rPr>
                <w:rFonts w:ascii="Times New Roman" w:hAnsi="Times New Roman" w:cs="Times New Roman"/>
                <w:sz w:val="24"/>
                <w:szCs w:val="24"/>
              </w:rPr>
              <w:t>Максимальная стоимость</w:t>
            </w:r>
            <w:r w:rsidR="00AB122F" w:rsidRPr="00C451D6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комплексному маркетинговому сопровождению</w:t>
            </w:r>
            <w:r w:rsidRPr="00C4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1D6" w:rsidRPr="00C451D6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на основании прейскуранта (иного документа, регламентирующего стоимость услуг исполнителя), действующего на момент заключения договора, предусмотренного настоящим ТЗ, но </w:t>
            </w:r>
            <w:r w:rsidRPr="00C451D6">
              <w:rPr>
                <w:rFonts w:ascii="Times New Roman" w:hAnsi="Times New Roman" w:cs="Times New Roman"/>
                <w:sz w:val="24"/>
                <w:szCs w:val="24"/>
              </w:rPr>
              <w:t>не должна превышать 100 000,00 (сто тысяч) рублей</w:t>
            </w:r>
            <w:r w:rsidR="002C3C44" w:rsidRPr="00C451D6">
              <w:rPr>
                <w:rFonts w:ascii="Times New Roman" w:hAnsi="Times New Roman" w:cs="Times New Roman"/>
                <w:sz w:val="24"/>
                <w:szCs w:val="24"/>
              </w:rPr>
              <w:t xml:space="preserve"> для одного СМСП</w:t>
            </w:r>
            <w:r w:rsidR="00C451D6" w:rsidRPr="00C45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64E9" w:rsidRPr="00C4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1D6" w:rsidRDefault="00C451D6" w:rsidP="00C451D6">
            <w:pPr>
              <w:pStyle w:val="a6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Прейскурант, иной документ, регламентирующий стоимость услуг исполнителя, будет являться приложением к договору оказания услуг, заключенному между исполнителем и заказчиком.  </w:t>
            </w:r>
          </w:p>
          <w:p w:rsidR="00BC4DA3" w:rsidRPr="00A96C18" w:rsidRDefault="00BC4DA3" w:rsidP="00BC4DA3">
            <w:pPr>
              <w:pStyle w:val="a6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субъектов малого и среднего предпринимательства – получателей услуг по комплексному маркетинговому сопровождению, должно быть не менее 23. </w:t>
            </w:r>
          </w:p>
          <w:p w:rsidR="002C3C44" w:rsidRPr="00A96C18" w:rsidRDefault="002C3C44" w:rsidP="00C451D6">
            <w:pPr>
              <w:pStyle w:val="a6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505" w:rsidRPr="00DA3B18" w:rsidRDefault="00DA3B18" w:rsidP="008F450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3B18">
        <w:rPr>
          <w:rFonts w:ascii="Times New Roman" w:hAnsi="Times New Roman" w:cs="Times New Roman"/>
          <w:sz w:val="24"/>
          <w:szCs w:val="24"/>
          <w:vertAlign w:val="superscript"/>
        </w:rPr>
        <w:t>(*) – Исполнитель вправе выбрать один или несколько из предложенных направлений.</w:t>
      </w:r>
    </w:p>
    <w:p w:rsidR="00E85180" w:rsidRDefault="00E85180" w:rsidP="008F450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604" w:rsidRPr="00D26285" w:rsidRDefault="008D1604" w:rsidP="008D16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Предложени</w:t>
      </w:r>
      <w:r w:rsidR="003C2D22">
        <w:rPr>
          <w:rFonts w:ascii="Times New Roman" w:hAnsi="Times New Roman"/>
          <w:sz w:val="24"/>
          <w:szCs w:val="24"/>
        </w:rPr>
        <w:t>е</w:t>
      </w:r>
      <w:r w:rsidRPr="00D26285">
        <w:rPr>
          <w:rFonts w:ascii="Times New Roman" w:hAnsi="Times New Roman"/>
          <w:sz w:val="24"/>
          <w:szCs w:val="24"/>
        </w:rPr>
        <w:t xml:space="preserve"> на оказание услуг направля</w:t>
      </w:r>
      <w:r w:rsidR="003C2D22">
        <w:rPr>
          <w:rFonts w:ascii="Times New Roman" w:hAnsi="Times New Roman"/>
          <w:sz w:val="24"/>
          <w:szCs w:val="24"/>
        </w:rPr>
        <w:t>е</w:t>
      </w:r>
      <w:r w:rsidRPr="00D26285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в течении 5 календарных дней (до </w:t>
      </w:r>
      <w:r w:rsidR="00BC4DA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.09.2019 включительно)</w:t>
      </w:r>
      <w:r w:rsidRPr="00D26285">
        <w:rPr>
          <w:rFonts w:ascii="Times New Roman" w:hAnsi="Times New Roman"/>
          <w:sz w:val="24"/>
          <w:szCs w:val="24"/>
        </w:rPr>
        <w:t xml:space="preserve"> в письменном виде за подписью уполномоченного лица и печатью (при наличии) участника процедуры отбора на адрес электронной почты </w:t>
      </w:r>
      <w:r w:rsidRPr="00D26285">
        <w:rPr>
          <w:rFonts w:ascii="Times New Roman" w:hAnsi="Times New Roman"/>
          <w:sz w:val="24"/>
          <w:szCs w:val="24"/>
          <w:lang w:val="en-US"/>
        </w:rPr>
        <w:t>fondrh</w:t>
      </w:r>
      <w:r w:rsidRPr="00D26285">
        <w:rPr>
          <w:rFonts w:ascii="Times New Roman" w:hAnsi="Times New Roman"/>
          <w:sz w:val="24"/>
          <w:szCs w:val="24"/>
        </w:rPr>
        <w:t>@</w:t>
      </w:r>
      <w:r w:rsidRPr="00D26285">
        <w:rPr>
          <w:rFonts w:ascii="Times New Roman" w:hAnsi="Times New Roman"/>
          <w:sz w:val="24"/>
          <w:szCs w:val="24"/>
          <w:lang w:val="en-US"/>
        </w:rPr>
        <w:t>mail</w:t>
      </w:r>
      <w:r w:rsidRPr="00D26285">
        <w:rPr>
          <w:rFonts w:ascii="Times New Roman" w:hAnsi="Times New Roman"/>
          <w:sz w:val="24"/>
          <w:szCs w:val="24"/>
        </w:rPr>
        <w:t>.</w:t>
      </w:r>
      <w:r w:rsidRPr="00D26285">
        <w:rPr>
          <w:rFonts w:ascii="Times New Roman" w:hAnsi="Times New Roman"/>
          <w:sz w:val="24"/>
          <w:szCs w:val="24"/>
          <w:lang w:val="en-US"/>
        </w:rPr>
        <w:t>ru</w:t>
      </w:r>
      <w:r w:rsidRPr="00D26285">
        <w:rPr>
          <w:rFonts w:ascii="Times New Roman" w:hAnsi="Times New Roman"/>
          <w:sz w:val="24"/>
          <w:szCs w:val="24"/>
        </w:rPr>
        <w:t xml:space="preserve"> либо предоставляются нарочно по адресу: Республика Хакасия, г. Абакан, ул. Кирова, д. 81 (Фонд развития Хакасии), с приложением следующих</w:t>
      </w:r>
      <w:r>
        <w:rPr>
          <w:rFonts w:ascii="Times New Roman" w:hAnsi="Times New Roman"/>
          <w:sz w:val="24"/>
          <w:szCs w:val="24"/>
        </w:rPr>
        <w:t>, заверенных надлежащим образом,</w:t>
      </w:r>
      <w:r w:rsidRPr="00D26285">
        <w:rPr>
          <w:rFonts w:ascii="Times New Roman" w:hAnsi="Times New Roman"/>
          <w:sz w:val="24"/>
          <w:szCs w:val="24"/>
        </w:rPr>
        <w:t xml:space="preserve"> документов и сведений:</w:t>
      </w:r>
    </w:p>
    <w:p w:rsidR="008D1604" w:rsidRPr="00D26285" w:rsidRDefault="008D1604" w:rsidP="008D16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8D1604" w:rsidRPr="00D26285" w:rsidRDefault="008D1604" w:rsidP="008D16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:rsidR="008D1604" w:rsidRPr="00D26285" w:rsidRDefault="008D1604" w:rsidP="008D16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8D1604" w:rsidRPr="00D26285" w:rsidRDefault="008D1604" w:rsidP="008D16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8D1604" w:rsidRPr="00D26285" w:rsidRDefault="008D1604" w:rsidP="008D16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8D1604" w:rsidRPr="00D26285" w:rsidRDefault="008D1604" w:rsidP="008D16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8D1604" w:rsidRPr="00D26285" w:rsidRDefault="008D1604" w:rsidP="008D16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-  копии учредительных документов участника отбора (для юридических лиц);</w:t>
      </w:r>
    </w:p>
    <w:p w:rsidR="008D1604" w:rsidRPr="00D26285" w:rsidRDefault="008D1604" w:rsidP="008D16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предложение на поставку товаров, выполнение работ, оказание услуг, предусмотренных техническим заданием;   </w:t>
      </w:r>
    </w:p>
    <w:p w:rsidR="00230121" w:rsidRPr="00047698" w:rsidRDefault="008D1604" w:rsidP="00BC4D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26285">
        <w:rPr>
          <w:rFonts w:ascii="Times New Roman" w:hAnsi="Times New Roman"/>
          <w:sz w:val="24"/>
          <w:szCs w:val="24"/>
        </w:rPr>
        <w:t xml:space="preserve">- копии документов, подтверждающих соответствие поставщика </w:t>
      </w:r>
      <w:r w:rsidR="003C2D22">
        <w:rPr>
          <w:rFonts w:ascii="Times New Roman" w:hAnsi="Times New Roman"/>
          <w:sz w:val="24"/>
          <w:szCs w:val="24"/>
        </w:rPr>
        <w:t>(</w:t>
      </w:r>
      <w:r w:rsidRPr="00D26285">
        <w:rPr>
          <w:rFonts w:ascii="Times New Roman" w:hAnsi="Times New Roman"/>
          <w:sz w:val="24"/>
          <w:szCs w:val="24"/>
        </w:rPr>
        <w:t xml:space="preserve">подрядчика/исполнителя) критериям, установленным в разделе </w:t>
      </w:r>
      <w:r w:rsidR="00BC4DA3">
        <w:rPr>
          <w:rFonts w:ascii="Times New Roman" w:hAnsi="Times New Roman"/>
          <w:sz w:val="24"/>
          <w:szCs w:val="24"/>
        </w:rPr>
        <w:t>«</w:t>
      </w:r>
      <w:r w:rsidR="003C2D22" w:rsidRPr="00A96C18">
        <w:rPr>
          <w:rFonts w:ascii="Times New Roman" w:hAnsi="Times New Roman"/>
          <w:sz w:val="24"/>
          <w:szCs w:val="24"/>
        </w:rPr>
        <w:t>Требования к Исполнителю</w:t>
      </w:r>
      <w:r w:rsidR="00BC4DA3">
        <w:rPr>
          <w:rFonts w:ascii="Times New Roman" w:hAnsi="Times New Roman"/>
          <w:sz w:val="24"/>
          <w:szCs w:val="24"/>
        </w:rPr>
        <w:t>»</w:t>
      </w:r>
      <w:r w:rsidR="003C2D22" w:rsidRPr="00D26285">
        <w:rPr>
          <w:rFonts w:ascii="Times New Roman" w:hAnsi="Times New Roman"/>
          <w:sz w:val="24"/>
          <w:szCs w:val="24"/>
        </w:rPr>
        <w:t xml:space="preserve"> </w:t>
      </w:r>
      <w:r w:rsidRPr="00D26285">
        <w:rPr>
          <w:rFonts w:ascii="Times New Roman" w:hAnsi="Times New Roman"/>
          <w:sz w:val="24"/>
          <w:szCs w:val="24"/>
        </w:rPr>
        <w:t xml:space="preserve">настоящего </w:t>
      </w:r>
      <w:r w:rsidR="00BC4DA3">
        <w:rPr>
          <w:rFonts w:ascii="Times New Roman" w:hAnsi="Times New Roman"/>
          <w:sz w:val="24"/>
          <w:szCs w:val="24"/>
        </w:rPr>
        <w:t>технического задания</w:t>
      </w:r>
      <w:r w:rsidRPr="00D26285">
        <w:rPr>
          <w:rFonts w:ascii="Times New Roman" w:hAnsi="Times New Roman"/>
          <w:sz w:val="24"/>
          <w:szCs w:val="24"/>
        </w:rPr>
        <w:t xml:space="preserve">. </w:t>
      </w:r>
    </w:p>
    <w:sectPr w:rsidR="00230121" w:rsidRPr="00047698" w:rsidSect="002E18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01" w:rsidRDefault="00F93901" w:rsidP="00F03549">
      <w:pPr>
        <w:spacing w:after="0" w:line="240" w:lineRule="auto"/>
      </w:pPr>
      <w:r>
        <w:separator/>
      </w:r>
    </w:p>
  </w:endnote>
  <w:endnote w:type="continuationSeparator" w:id="0">
    <w:p w:rsidR="00F93901" w:rsidRDefault="00F93901" w:rsidP="00F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01" w:rsidRDefault="00F93901" w:rsidP="00F03549">
      <w:pPr>
        <w:spacing w:after="0" w:line="240" w:lineRule="auto"/>
      </w:pPr>
      <w:r>
        <w:separator/>
      </w:r>
    </w:p>
  </w:footnote>
  <w:footnote w:type="continuationSeparator" w:id="0">
    <w:p w:rsidR="00F93901" w:rsidRDefault="00F93901" w:rsidP="00F0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C0079"/>
    <w:multiLevelType w:val="hybridMultilevel"/>
    <w:tmpl w:val="BAD06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0DB4"/>
    <w:multiLevelType w:val="hybridMultilevel"/>
    <w:tmpl w:val="1CCE6D70"/>
    <w:lvl w:ilvl="0" w:tplc="BD06052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FE20A6A"/>
    <w:multiLevelType w:val="hybridMultilevel"/>
    <w:tmpl w:val="4FD6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A0B"/>
    <w:multiLevelType w:val="hybridMultilevel"/>
    <w:tmpl w:val="737A8432"/>
    <w:lvl w:ilvl="0" w:tplc="463E1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76F04"/>
    <w:multiLevelType w:val="hybridMultilevel"/>
    <w:tmpl w:val="1F80EB02"/>
    <w:lvl w:ilvl="0" w:tplc="6A8E6B0C">
      <w:start w:val="4"/>
      <w:numFmt w:val="decimal"/>
      <w:lvlText w:val="%1."/>
      <w:lvlJc w:val="left"/>
      <w:pPr>
        <w:ind w:left="41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7" w15:restartNumberingAfterBreak="0">
    <w:nsid w:val="185A5C31"/>
    <w:multiLevelType w:val="hybridMultilevel"/>
    <w:tmpl w:val="1E82D3DC"/>
    <w:lvl w:ilvl="0" w:tplc="B5867AE6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6B74"/>
    <w:multiLevelType w:val="hybridMultilevel"/>
    <w:tmpl w:val="38E88854"/>
    <w:lvl w:ilvl="0" w:tplc="B5867AE6"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2D4E7C"/>
    <w:multiLevelType w:val="hybridMultilevel"/>
    <w:tmpl w:val="D8CA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5E2A"/>
    <w:multiLevelType w:val="hybridMultilevel"/>
    <w:tmpl w:val="4442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D4F20"/>
    <w:multiLevelType w:val="hybridMultilevel"/>
    <w:tmpl w:val="7EEE1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E122A60"/>
    <w:multiLevelType w:val="hybridMultilevel"/>
    <w:tmpl w:val="9696A6EC"/>
    <w:lvl w:ilvl="0" w:tplc="35126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4C2378"/>
    <w:multiLevelType w:val="multilevel"/>
    <w:tmpl w:val="BC0456B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15" w15:restartNumberingAfterBreak="0">
    <w:nsid w:val="312F207B"/>
    <w:multiLevelType w:val="multilevel"/>
    <w:tmpl w:val="192299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5861888"/>
    <w:multiLevelType w:val="hybridMultilevel"/>
    <w:tmpl w:val="5ED0B180"/>
    <w:lvl w:ilvl="0" w:tplc="4B14BAC2">
      <w:start w:val="1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5E0051A"/>
    <w:multiLevelType w:val="hybridMultilevel"/>
    <w:tmpl w:val="5B5C6B22"/>
    <w:lvl w:ilvl="0" w:tplc="5FFE19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086807"/>
    <w:multiLevelType w:val="hybridMultilevel"/>
    <w:tmpl w:val="2DBE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C3E3D"/>
    <w:multiLevelType w:val="hybridMultilevel"/>
    <w:tmpl w:val="D826A1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E503BE3"/>
    <w:multiLevelType w:val="multilevel"/>
    <w:tmpl w:val="44A845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A57905"/>
    <w:multiLevelType w:val="hybridMultilevel"/>
    <w:tmpl w:val="C0FE7F8E"/>
    <w:lvl w:ilvl="0" w:tplc="4C3043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3247600"/>
    <w:multiLevelType w:val="hybridMultilevel"/>
    <w:tmpl w:val="2DBE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D7BB6"/>
    <w:multiLevelType w:val="hybridMultilevel"/>
    <w:tmpl w:val="7F44D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42F94"/>
    <w:multiLevelType w:val="multilevel"/>
    <w:tmpl w:val="192299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53327DCE"/>
    <w:multiLevelType w:val="hybridMultilevel"/>
    <w:tmpl w:val="58D0B2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28" w15:restartNumberingAfterBreak="0">
    <w:nsid w:val="54B618AD"/>
    <w:multiLevelType w:val="multilevel"/>
    <w:tmpl w:val="192299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54E11581"/>
    <w:multiLevelType w:val="hybridMultilevel"/>
    <w:tmpl w:val="082CCEC0"/>
    <w:lvl w:ilvl="0" w:tplc="793C78D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AAD6614"/>
    <w:multiLevelType w:val="hybridMultilevel"/>
    <w:tmpl w:val="94AC282A"/>
    <w:lvl w:ilvl="0" w:tplc="9842B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685801"/>
    <w:multiLevelType w:val="hybridMultilevel"/>
    <w:tmpl w:val="EFC84B6E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32" w15:restartNumberingAfterBreak="0">
    <w:nsid w:val="66396BE3"/>
    <w:multiLevelType w:val="hybridMultilevel"/>
    <w:tmpl w:val="7A1C1D70"/>
    <w:lvl w:ilvl="0" w:tplc="1D7C681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8123B"/>
    <w:multiLevelType w:val="hybridMultilevel"/>
    <w:tmpl w:val="7B3C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2231D"/>
    <w:multiLevelType w:val="hybridMultilevel"/>
    <w:tmpl w:val="F162C508"/>
    <w:lvl w:ilvl="0" w:tplc="0419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5" w15:restartNumberingAfterBreak="0">
    <w:nsid w:val="6C7818F9"/>
    <w:multiLevelType w:val="hybridMultilevel"/>
    <w:tmpl w:val="9D5073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6FF60C17"/>
    <w:multiLevelType w:val="hybridMultilevel"/>
    <w:tmpl w:val="242C23A6"/>
    <w:lvl w:ilvl="0" w:tplc="933E49A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D525C"/>
    <w:multiLevelType w:val="multilevel"/>
    <w:tmpl w:val="C21064B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00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FF7F79"/>
    <w:multiLevelType w:val="hybridMultilevel"/>
    <w:tmpl w:val="A96A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4200B"/>
    <w:multiLevelType w:val="hybridMultilevel"/>
    <w:tmpl w:val="3560EC30"/>
    <w:lvl w:ilvl="0" w:tplc="8D4AB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3"/>
  </w:num>
  <w:num w:numId="4">
    <w:abstractNumId w:val="3"/>
  </w:num>
  <w:num w:numId="5">
    <w:abstractNumId w:val="24"/>
  </w:num>
  <w:num w:numId="6">
    <w:abstractNumId w:val="30"/>
  </w:num>
  <w:num w:numId="7">
    <w:abstractNumId w:val="17"/>
  </w:num>
  <w:num w:numId="8">
    <w:abstractNumId w:val="22"/>
  </w:num>
  <w:num w:numId="9">
    <w:abstractNumId w:val="29"/>
  </w:num>
  <w:num w:numId="10">
    <w:abstractNumId w:val="39"/>
  </w:num>
  <w:num w:numId="11">
    <w:abstractNumId w:val="8"/>
  </w:num>
  <w:num w:numId="12">
    <w:abstractNumId w:val="1"/>
  </w:num>
  <w:num w:numId="13">
    <w:abstractNumId w:val="7"/>
  </w:num>
  <w:num w:numId="14">
    <w:abstractNumId w:val="35"/>
  </w:num>
  <w:num w:numId="15">
    <w:abstractNumId w:val="19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8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3"/>
  </w:num>
  <w:num w:numId="30">
    <w:abstractNumId w:val="40"/>
  </w:num>
  <w:num w:numId="31">
    <w:abstractNumId w:val="0"/>
  </w:num>
  <w:num w:numId="32">
    <w:abstractNumId w:val="16"/>
  </w:num>
  <w:num w:numId="33">
    <w:abstractNumId w:val="12"/>
  </w:num>
  <w:num w:numId="34">
    <w:abstractNumId w:val="34"/>
  </w:num>
  <w:num w:numId="35">
    <w:abstractNumId w:val="11"/>
  </w:num>
  <w:num w:numId="36">
    <w:abstractNumId w:val="26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3"/>
  </w:num>
  <w:num w:numId="40">
    <w:abstractNumId w:val="2"/>
  </w:num>
  <w:num w:numId="41">
    <w:abstractNumId w:val="15"/>
  </w:num>
  <w:num w:numId="42">
    <w:abstractNumId w:val="25"/>
  </w:num>
  <w:num w:numId="43">
    <w:abstractNumId w:val="14"/>
  </w:num>
  <w:num w:numId="44">
    <w:abstractNumId w:val="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5"/>
    <w:rsid w:val="00002CD0"/>
    <w:rsid w:val="000048A9"/>
    <w:rsid w:val="0001291F"/>
    <w:rsid w:val="000134FE"/>
    <w:rsid w:val="0002032B"/>
    <w:rsid w:val="000210ED"/>
    <w:rsid w:val="0003439F"/>
    <w:rsid w:val="000407BE"/>
    <w:rsid w:val="00046056"/>
    <w:rsid w:val="00047698"/>
    <w:rsid w:val="00070647"/>
    <w:rsid w:val="00072ED0"/>
    <w:rsid w:val="000737CA"/>
    <w:rsid w:val="00090140"/>
    <w:rsid w:val="00096282"/>
    <w:rsid w:val="00096909"/>
    <w:rsid w:val="000A7C52"/>
    <w:rsid w:val="000B31B7"/>
    <w:rsid w:val="000E163D"/>
    <w:rsid w:val="000E16C9"/>
    <w:rsid w:val="000E2F75"/>
    <w:rsid w:val="000F59F8"/>
    <w:rsid w:val="00117B97"/>
    <w:rsid w:val="00123EBE"/>
    <w:rsid w:val="001252BD"/>
    <w:rsid w:val="001302D3"/>
    <w:rsid w:val="00137010"/>
    <w:rsid w:val="00143E53"/>
    <w:rsid w:val="00153961"/>
    <w:rsid w:val="00153BD5"/>
    <w:rsid w:val="00163BF7"/>
    <w:rsid w:val="00181419"/>
    <w:rsid w:val="00186A62"/>
    <w:rsid w:val="00193331"/>
    <w:rsid w:val="001A1FF8"/>
    <w:rsid w:val="001A34B8"/>
    <w:rsid w:val="001A44AE"/>
    <w:rsid w:val="001A5240"/>
    <w:rsid w:val="001B0DCF"/>
    <w:rsid w:val="001C4B86"/>
    <w:rsid w:val="001C6F75"/>
    <w:rsid w:val="001D1349"/>
    <w:rsid w:val="001D1475"/>
    <w:rsid w:val="001D25F5"/>
    <w:rsid w:val="001D5114"/>
    <w:rsid w:val="001D6E4B"/>
    <w:rsid w:val="001F4AA2"/>
    <w:rsid w:val="00215275"/>
    <w:rsid w:val="00230121"/>
    <w:rsid w:val="00237C37"/>
    <w:rsid w:val="002616A7"/>
    <w:rsid w:val="002637AF"/>
    <w:rsid w:val="00273A46"/>
    <w:rsid w:val="00277579"/>
    <w:rsid w:val="00280DCE"/>
    <w:rsid w:val="0028788E"/>
    <w:rsid w:val="00293371"/>
    <w:rsid w:val="002A3394"/>
    <w:rsid w:val="002A48B6"/>
    <w:rsid w:val="002B0DFD"/>
    <w:rsid w:val="002C3C44"/>
    <w:rsid w:val="002C74CB"/>
    <w:rsid w:val="002D7FDA"/>
    <w:rsid w:val="002E185E"/>
    <w:rsid w:val="002F0730"/>
    <w:rsid w:val="002F124A"/>
    <w:rsid w:val="002F187F"/>
    <w:rsid w:val="002F353F"/>
    <w:rsid w:val="00305240"/>
    <w:rsid w:val="003071AF"/>
    <w:rsid w:val="00307984"/>
    <w:rsid w:val="00320978"/>
    <w:rsid w:val="00327110"/>
    <w:rsid w:val="00332BCF"/>
    <w:rsid w:val="003351B8"/>
    <w:rsid w:val="00337155"/>
    <w:rsid w:val="00343140"/>
    <w:rsid w:val="0035016D"/>
    <w:rsid w:val="00353344"/>
    <w:rsid w:val="00355352"/>
    <w:rsid w:val="00360CA9"/>
    <w:rsid w:val="00361465"/>
    <w:rsid w:val="00365B76"/>
    <w:rsid w:val="00387C88"/>
    <w:rsid w:val="003900BD"/>
    <w:rsid w:val="003A4939"/>
    <w:rsid w:val="003A63AE"/>
    <w:rsid w:val="003B32A2"/>
    <w:rsid w:val="003C2D22"/>
    <w:rsid w:val="003C65E7"/>
    <w:rsid w:val="003D0191"/>
    <w:rsid w:val="003E15D0"/>
    <w:rsid w:val="003F384F"/>
    <w:rsid w:val="00403912"/>
    <w:rsid w:val="00403C8B"/>
    <w:rsid w:val="004130CA"/>
    <w:rsid w:val="00450615"/>
    <w:rsid w:val="004514B2"/>
    <w:rsid w:val="00472B72"/>
    <w:rsid w:val="00497816"/>
    <w:rsid w:val="004B7248"/>
    <w:rsid w:val="004C158A"/>
    <w:rsid w:val="004C7AFB"/>
    <w:rsid w:val="004D43EB"/>
    <w:rsid w:val="004D7D51"/>
    <w:rsid w:val="004E1324"/>
    <w:rsid w:val="004E2BC3"/>
    <w:rsid w:val="004F1F5A"/>
    <w:rsid w:val="004F3BC4"/>
    <w:rsid w:val="004F6A5A"/>
    <w:rsid w:val="004F745C"/>
    <w:rsid w:val="00503384"/>
    <w:rsid w:val="00504F4F"/>
    <w:rsid w:val="0050628B"/>
    <w:rsid w:val="00514546"/>
    <w:rsid w:val="00515DA9"/>
    <w:rsid w:val="00516BA2"/>
    <w:rsid w:val="00520444"/>
    <w:rsid w:val="0052244A"/>
    <w:rsid w:val="0053261A"/>
    <w:rsid w:val="005430F6"/>
    <w:rsid w:val="00560C8A"/>
    <w:rsid w:val="00562062"/>
    <w:rsid w:val="0056264D"/>
    <w:rsid w:val="005708C9"/>
    <w:rsid w:val="00570982"/>
    <w:rsid w:val="00576C9B"/>
    <w:rsid w:val="00580925"/>
    <w:rsid w:val="0058241C"/>
    <w:rsid w:val="00591E17"/>
    <w:rsid w:val="005A42CA"/>
    <w:rsid w:val="005B4C7B"/>
    <w:rsid w:val="005C1839"/>
    <w:rsid w:val="005C24B3"/>
    <w:rsid w:val="005C37F7"/>
    <w:rsid w:val="005C64E9"/>
    <w:rsid w:val="005D24F6"/>
    <w:rsid w:val="005E100B"/>
    <w:rsid w:val="005E56CC"/>
    <w:rsid w:val="005E66DB"/>
    <w:rsid w:val="005F77DF"/>
    <w:rsid w:val="006018A1"/>
    <w:rsid w:val="006027C6"/>
    <w:rsid w:val="00603B42"/>
    <w:rsid w:val="0060544A"/>
    <w:rsid w:val="0060680B"/>
    <w:rsid w:val="00613548"/>
    <w:rsid w:val="006150D2"/>
    <w:rsid w:val="00615324"/>
    <w:rsid w:val="006226A4"/>
    <w:rsid w:val="0062512A"/>
    <w:rsid w:val="006326FB"/>
    <w:rsid w:val="00634E94"/>
    <w:rsid w:val="006705F4"/>
    <w:rsid w:val="00671ED7"/>
    <w:rsid w:val="00687BEE"/>
    <w:rsid w:val="00696A7D"/>
    <w:rsid w:val="00697AA6"/>
    <w:rsid w:val="006A16E6"/>
    <w:rsid w:val="006A64E1"/>
    <w:rsid w:val="006B0739"/>
    <w:rsid w:val="006B1F31"/>
    <w:rsid w:val="006B64F4"/>
    <w:rsid w:val="006B7B00"/>
    <w:rsid w:val="006C6C2B"/>
    <w:rsid w:val="006C7F0D"/>
    <w:rsid w:val="006D3AB2"/>
    <w:rsid w:val="006D5055"/>
    <w:rsid w:val="006D768A"/>
    <w:rsid w:val="00701E85"/>
    <w:rsid w:val="00707087"/>
    <w:rsid w:val="00716AC5"/>
    <w:rsid w:val="0072048F"/>
    <w:rsid w:val="0072202D"/>
    <w:rsid w:val="007248EF"/>
    <w:rsid w:val="00725558"/>
    <w:rsid w:val="00733765"/>
    <w:rsid w:val="007777EC"/>
    <w:rsid w:val="00780FC6"/>
    <w:rsid w:val="00794B10"/>
    <w:rsid w:val="00794EF9"/>
    <w:rsid w:val="007B6AFF"/>
    <w:rsid w:val="007D652E"/>
    <w:rsid w:val="007D7100"/>
    <w:rsid w:val="007E2C03"/>
    <w:rsid w:val="007F1525"/>
    <w:rsid w:val="007F6980"/>
    <w:rsid w:val="0080471F"/>
    <w:rsid w:val="00806134"/>
    <w:rsid w:val="0081028A"/>
    <w:rsid w:val="008113FC"/>
    <w:rsid w:val="00823E08"/>
    <w:rsid w:val="008274FE"/>
    <w:rsid w:val="0083258A"/>
    <w:rsid w:val="008344E3"/>
    <w:rsid w:val="00851166"/>
    <w:rsid w:val="00854115"/>
    <w:rsid w:val="008543C2"/>
    <w:rsid w:val="00862F7F"/>
    <w:rsid w:val="008720C7"/>
    <w:rsid w:val="008778C6"/>
    <w:rsid w:val="00892FB0"/>
    <w:rsid w:val="008A16BB"/>
    <w:rsid w:val="008A4A9E"/>
    <w:rsid w:val="008B51FF"/>
    <w:rsid w:val="008B5A39"/>
    <w:rsid w:val="008D1604"/>
    <w:rsid w:val="008D34DE"/>
    <w:rsid w:val="008D6A99"/>
    <w:rsid w:val="008E3D81"/>
    <w:rsid w:val="008F2A11"/>
    <w:rsid w:val="008F3905"/>
    <w:rsid w:val="008F3D73"/>
    <w:rsid w:val="008F4505"/>
    <w:rsid w:val="00910F1E"/>
    <w:rsid w:val="00911D56"/>
    <w:rsid w:val="00913AED"/>
    <w:rsid w:val="00915ECA"/>
    <w:rsid w:val="00916F0D"/>
    <w:rsid w:val="00921088"/>
    <w:rsid w:val="0093231A"/>
    <w:rsid w:val="009516F4"/>
    <w:rsid w:val="00951EB4"/>
    <w:rsid w:val="00961FD6"/>
    <w:rsid w:val="00970AD8"/>
    <w:rsid w:val="0097235F"/>
    <w:rsid w:val="009822D5"/>
    <w:rsid w:val="00982EF3"/>
    <w:rsid w:val="0098380B"/>
    <w:rsid w:val="00987A42"/>
    <w:rsid w:val="00995FEE"/>
    <w:rsid w:val="009967DA"/>
    <w:rsid w:val="00997C26"/>
    <w:rsid w:val="009A4923"/>
    <w:rsid w:val="009A734D"/>
    <w:rsid w:val="009B07BF"/>
    <w:rsid w:val="009E3D22"/>
    <w:rsid w:val="009F053D"/>
    <w:rsid w:val="009F1E65"/>
    <w:rsid w:val="00A16A62"/>
    <w:rsid w:val="00A16C89"/>
    <w:rsid w:val="00A17675"/>
    <w:rsid w:val="00A20E93"/>
    <w:rsid w:val="00A24B15"/>
    <w:rsid w:val="00A35BCD"/>
    <w:rsid w:val="00A40CC6"/>
    <w:rsid w:val="00A4482B"/>
    <w:rsid w:val="00A467D3"/>
    <w:rsid w:val="00A52BE7"/>
    <w:rsid w:val="00A5732B"/>
    <w:rsid w:val="00A65C33"/>
    <w:rsid w:val="00A6620C"/>
    <w:rsid w:val="00A67374"/>
    <w:rsid w:val="00A86674"/>
    <w:rsid w:val="00A94514"/>
    <w:rsid w:val="00A96C18"/>
    <w:rsid w:val="00AA6D10"/>
    <w:rsid w:val="00AA6E2B"/>
    <w:rsid w:val="00AB122F"/>
    <w:rsid w:val="00AC3374"/>
    <w:rsid w:val="00AE37FE"/>
    <w:rsid w:val="00AE3E8D"/>
    <w:rsid w:val="00AF03DF"/>
    <w:rsid w:val="00AF23E7"/>
    <w:rsid w:val="00AF4FBD"/>
    <w:rsid w:val="00B029F0"/>
    <w:rsid w:val="00B03175"/>
    <w:rsid w:val="00B04429"/>
    <w:rsid w:val="00B075B8"/>
    <w:rsid w:val="00B122C9"/>
    <w:rsid w:val="00B172FB"/>
    <w:rsid w:val="00B205D8"/>
    <w:rsid w:val="00B212F3"/>
    <w:rsid w:val="00B317A3"/>
    <w:rsid w:val="00B534D2"/>
    <w:rsid w:val="00B6701C"/>
    <w:rsid w:val="00B671A4"/>
    <w:rsid w:val="00B724F8"/>
    <w:rsid w:val="00B75164"/>
    <w:rsid w:val="00B82520"/>
    <w:rsid w:val="00B85F7C"/>
    <w:rsid w:val="00B86B02"/>
    <w:rsid w:val="00BA39B8"/>
    <w:rsid w:val="00BB0CCA"/>
    <w:rsid w:val="00BB0E07"/>
    <w:rsid w:val="00BB3436"/>
    <w:rsid w:val="00BB3945"/>
    <w:rsid w:val="00BB4BC3"/>
    <w:rsid w:val="00BC167D"/>
    <w:rsid w:val="00BC4DA3"/>
    <w:rsid w:val="00BC597A"/>
    <w:rsid w:val="00BC76AE"/>
    <w:rsid w:val="00BD1340"/>
    <w:rsid w:val="00BD383F"/>
    <w:rsid w:val="00BD689C"/>
    <w:rsid w:val="00BF1A40"/>
    <w:rsid w:val="00BF4237"/>
    <w:rsid w:val="00C002CC"/>
    <w:rsid w:val="00C104A0"/>
    <w:rsid w:val="00C10937"/>
    <w:rsid w:val="00C165E3"/>
    <w:rsid w:val="00C211D9"/>
    <w:rsid w:val="00C21EB7"/>
    <w:rsid w:val="00C35390"/>
    <w:rsid w:val="00C4364F"/>
    <w:rsid w:val="00C451D6"/>
    <w:rsid w:val="00C64E65"/>
    <w:rsid w:val="00C720F9"/>
    <w:rsid w:val="00C72721"/>
    <w:rsid w:val="00C82DE9"/>
    <w:rsid w:val="00C91BFE"/>
    <w:rsid w:val="00C91C3C"/>
    <w:rsid w:val="00CA3A34"/>
    <w:rsid w:val="00CB0477"/>
    <w:rsid w:val="00CC5069"/>
    <w:rsid w:val="00CD1C3C"/>
    <w:rsid w:val="00CD3002"/>
    <w:rsid w:val="00CE3188"/>
    <w:rsid w:val="00D01C1D"/>
    <w:rsid w:val="00D02024"/>
    <w:rsid w:val="00D10371"/>
    <w:rsid w:val="00D12160"/>
    <w:rsid w:val="00D34FD0"/>
    <w:rsid w:val="00D50160"/>
    <w:rsid w:val="00D6373D"/>
    <w:rsid w:val="00D6630F"/>
    <w:rsid w:val="00D840F8"/>
    <w:rsid w:val="00DA3B18"/>
    <w:rsid w:val="00DC382C"/>
    <w:rsid w:val="00DC3A3F"/>
    <w:rsid w:val="00DF0150"/>
    <w:rsid w:val="00DF2C83"/>
    <w:rsid w:val="00DF37D0"/>
    <w:rsid w:val="00DF5143"/>
    <w:rsid w:val="00DF7370"/>
    <w:rsid w:val="00E1058B"/>
    <w:rsid w:val="00E130B3"/>
    <w:rsid w:val="00E1346D"/>
    <w:rsid w:val="00E13B12"/>
    <w:rsid w:val="00E20A49"/>
    <w:rsid w:val="00E26384"/>
    <w:rsid w:val="00E26629"/>
    <w:rsid w:val="00E27AA7"/>
    <w:rsid w:val="00E27FB1"/>
    <w:rsid w:val="00E32D8E"/>
    <w:rsid w:val="00E45A57"/>
    <w:rsid w:val="00E569DE"/>
    <w:rsid w:val="00E64535"/>
    <w:rsid w:val="00E65BD2"/>
    <w:rsid w:val="00E7323F"/>
    <w:rsid w:val="00E85180"/>
    <w:rsid w:val="00E867A8"/>
    <w:rsid w:val="00E94949"/>
    <w:rsid w:val="00EA1410"/>
    <w:rsid w:val="00EA467D"/>
    <w:rsid w:val="00EB2D8C"/>
    <w:rsid w:val="00EC2A24"/>
    <w:rsid w:val="00ED2397"/>
    <w:rsid w:val="00ED4706"/>
    <w:rsid w:val="00EE1F3A"/>
    <w:rsid w:val="00EE4AE6"/>
    <w:rsid w:val="00F01C62"/>
    <w:rsid w:val="00F03549"/>
    <w:rsid w:val="00F06441"/>
    <w:rsid w:val="00F11CEB"/>
    <w:rsid w:val="00F14B84"/>
    <w:rsid w:val="00F16E9D"/>
    <w:rsid w:val="00F25B36"/>
    <w:rsid w:val="00F26B91"/>
    <w:rsid w:val="00F26B9D"/>
    <w:rsid w:val="00F344F8"/>
    <w:rsid w:val="00F354C1"/>
    <w:rsid w:val="00F356AE"/>
    <w:rsid w:val="00F40B5E"/>
    <w:rsid w:val="00F645AE"/>
    <w:rsid w:val="00F81F23"/>
    <w:rsid w:val="00F84023"/>
    <w:rsid w:val="00F84465"/>
    <w:rsid w:val="00F90E4E"/>
    <w:rsid w:val="00F93901"/>
    <w:rsid w:val="00FB3D2A"/>
    <w:rsid w:val="00FC58A2"/>
    <w:rsid w:val="00FC69B9"/>
    <w:rsid w:val="00FD7195"/>
    <w:rsid w:val="00FF64FD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AE7A0-613C-46AA-A4CE-D21E346A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00"/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75"/>
    <w:rPr>
      <w:rFonts w:ascii="Tahoma" w:hAnsi="Tahoma" w:cs="Tahoma"/>
      <w:sz w:val="16"/>
      <w:szCs w:val="16"/>
    </w:rPr>
  </w:style>
  <w:style w:type="paragraph" w:styleId="a6">
    <w:name w:val="List Paragraph"/>
    <w:aliases w:val="СПИСОК,Абзац списка для документа"/>
    <w:basedOn w:val="a"/>
    <w:link w:val="a7"/>
    <w:uiPriority w:val="34"/>
    <w:qFormat/>
    <w:rsid w:val="00A52B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549"/>
  </w:style>
  <w:style w:type="paragraph" w:styleId="aa">
    <w:name w:val="footer"/>
    <w:basedOn w:val="a"/>
    <w:link w:val="ab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549"/>
  </w:style>
  <w:style w:type="character" w:styleId="ac">
    <w:name w:val="Hyperlink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pseudoh1">
    <w:name w:val="pseudoh1"/>
    <w:rsid w:val="001A1FF8"/>
  </w:style>
  <w:style w:type="paragraph" w:customStyle="1" w:styleId="ConsPlusNormal">
    <w:name w:val="ConsPlusNormal"/>
    <w:rsid w:val="00C9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d">
    <w:name w:val="Placeholder Text"/>
    <w:basedOn w:val="a0"/>
    <w:uiPriority w:val="99"/>
    <w:semiHidden/>
    <w:rsid w:val="00C91C3C"/>
    <w:rPr>
      <w:vanish/>
      <w:color w:val="4F81BD" w:themeColor="accent1"/>
    </w:r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D840F8"/>
  </w:style>
  <w:style w:type="table" w:customStyle="1" w:styleId="11">
    <w:name w:val="Сетка таблицы1"/>
    <w:basedOn w:val="a1"/>
    <w:next w:val="a3"/>
    <w:uiPriority w:val="59"/>
    <w:rsid w:val="00F8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A16BB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fms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grul.nalo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ad.arbi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rot.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Шокур Сергей</dc:creator>
  <cp:keywords/>
  <dc:description/>
  <cp:lastModifiedBy>Татьяна</cp:lastModifiedBy>
  <cp:revision>19</cp:revision>
  <cp:lastPrinted>2019-09-12T02:35:00Z</cp:lastPrinted>
  <dcterms:created xsi:type="dcterms:W3CDTF">2019-07-04T09:10:00Z</dcterms:created>
  <dcterms:modified xsi:type="dcterms:W3CDTF">2019-09-18T11:31:00Z</dcterms:modified>
</cp:coreProperties>
</file>