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AB2AC" w14:textId="48BA50A9" w:rsidR="00D0353F" w:rsidRPr="00BB0E07" w:rsidRDefault="00D0353F" w:rsidP="00D0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="00524D02">
        <w:rPr>
          <w:rFonts w:ascii="Times New Roman" w:hAnsi="Times New Roman" w:cs="Times New Roman"/>
          <w:sz w:val="24"/>
          <w:szCs w:val="24"/>
        </w:rPr>
        <w:t>№</w:t>
      </w:r>
      <w:r w:rsidR="004B493A">
        <w:rPr>
          <w:rFonts w:ascii="Times New Roman" w:hAnsi="Times New Roman" w:cs="Times New Roman"/>
          <w:sz w:val="24"/>
          <w:szCs w:val="24"/>
        </w:rPr>
        <w:t xml:space="preserve"> </w:t>
      </w:r>
      <w:r w:rsidR="00EF002A">
        <w:rPr>
          <w:rFonts w:ascii="Times New Roman" w:hAnsi="Times New Roman" w:cs="Times New Roman"/>
          <w:sz w:val="24"/>
          <w:szCs w:val="24"/>
        </w:rPr>
        <w:t>22</w:t>
      </w:r>
      <w:r w:rsidR="007A0DD9">
        <w:rPr>
          <w:rFonts w:ascii="Times New Roman" w:hAnsi="Times New Roman" w:cs="Times New Roman"/>
          <w:sz w:val="24"/>
          <w:szCs w:val="24"/>
        </w:rPr>
        <w:t xml:space="preserve"> от 11.09.2019</w:t>
      </w:r>
      <w:r w:rsidR="00EF002A">
        <w:rPr>
          <w:rFonts w:ascii="Times New Roman" w:hAnsi="Times New Roman" w:cs="Times New Roman"/>
          <w:sz w:val="24"/>
          <w:szCs w:val="24"/>
        </w:rPr>
        <w:t xml:space="preserve"> </w:t>
      </w:r>
      <w:r w:rsidR="007A0DD9">
        <w:rPr>
          <w:rFonts w:ascii="Times New Roman" w:hAnsi="Times New Roman" w:cs="Times New Roman"/>
          <w:sz w:val="24"/>
          <w:szCs w:val="24"/>
        </w:rPr>
        <w:t>г</w:t>
      </w:r>
      <w:r w:rsidR="00EF002A">
        <w:rPr>
          <w:rFonts w:ascii="Times New Roman" w:hAnsi="Times New Roman" w:cs="Times New Roman"/>
          <w:sz w:val="24"/>
          <w:szCs w:val="24"/>
        </w:rPr>
        <w:t>ода</w:t>
      </w:r>
    </w:p>
    <w:p w14:paraId="4C147149" w14:textId="77777777" w:rsidR="00CF3257" w:rsidRDefault="00D0353F" w:rsidP="00D0353F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4D">
        <w:rPr>
          <w:rFonts w:ascii="Times New Roman" w:hAnsi="Times New Roman" w:cs="Times New Roman"/>
          <w:sz w:val="24"/>
          <w:szCs w:val="24"/>
        </w:rPr>
        <w:t xml:space="preserve">на </w:t>
      </w:r>
      <w:r w:rsidRPr="00485DCA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90E31">
        <w:rPr>
          <w:rFonts w:ascii="Times New Roman" w:hAnsi="Times New Roman" w:cs="Times New Roman"/>
          <w:sz w:val="24"/>
          <w:szCs w:val="24"/>
        </w:rPr>
        <w:t>организации и проведению</w:t>
      </w:r>
      <w:r w:rsidRPr="00485DCA">
        <w:rPr>
          <w:rFonts w:ascii="Times New Roman" w:hAnsi="Times New Roman" w:cs="Times New Roman"/>
          <w:sz w:val="24"/>
          <w:szCs w:val="24"/>
        </w:rPr>
        <w:t xml:space="preserve"> </w:t>
      </w:r>
      <w:r w:rsidR="006418FA">
        <w:rPr>
          <w:rFonts w:ascii="Times New Roman" w:hAnsi="Times New Roman" w:cs="Times New Roman"/>
          <w:sz w:val="24"/>
          <w:szCs w:val="24"/>
        </w:rPr>
        <w:t>Конференции</w:t>
      </w:r>
      <w:r w:rsidR="00A07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21C0C" w14:textId="474AE479" w:rsidR="00CF3257" w:rsidRDefault="00A07FD4" w:rsidP="00D0353F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3257" w:rsidRPr="00CF3257">
        <w:rPr>
          <w:rFonts w:ascii="Times New Roman" w:hAnsi="Times New Roman" w:cs="Times New Roman"/>
          <w:sz w:val="24"/>
          <w:szCs w:val="24"/>
        </w:rPr>
        <w:t>Экологический туризм в Хакасии. Возможности для малого предпринимательства</w:t>
      </w:r>
      <w:r w:rsidR="00CF3257">
        <w:rPr>
          <w:rFonts w:ascii="Times New Roman" w:hAnsi="Times New Roman" w:cs="Times New Roman"/>
          <w:sz w:val="24"/>
          <w:szCs w:val="24"/>
        </w:rPr>
        <w:t>»</w:t>
      </w:r>
    </w:p>
    <w:p w14:paraId="6205545D" w14:textId="0DBAA339" w:rsidR="00D0353F" w:rsidRDefault="00A07FD4" w:rsidP="00D0353F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53F" w:rsidRPr="00214527">
        <w:rPr>
          <w:rFonts w:ascii="Times New Roman" w:hAnsi="Times New Roman" w:cs="Times New Roman"/>
          <w:sz w:val="24"/>
          <w:szCs w:val="24"/>
        </w:rPr>
        <w:t>в</w:t>
      </w:r>
      <w:r w:rsidR="00D0353F" w:rsidRPr="00485DCA">
        <w:rPr>
          <w:rFonts w:ascii="Times New Roman" w:hAnsi="Times New Roman" w:cs="Times New Roman"/>
          <w:sz w:val="24"/>
          <w:szCs w:val="24"/>
        </w:rPr>
        <w:t xml:space="preserve"> рамках осуществления деятельности Центра поддержки </w:t>
      </w:r>
      <w:r w:rsidR="00300139">
        <w:rPr>
          <w:rFonts w:ascii="Times New Roman" w:hAnsi="Times New Roman" w:cs="Times New Roman"/>
          <w:sz w:val="24"/>
          <w:szCs w:val="24"/>
        </w:rPr>
        <w:t>МСП</w:t>
      </w:r>
    </w:p>
    <w:p w14:paraId="01825293" w14:textId="77777777" w:rsidR="001068EF" w:rsidRDefault="001068E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525F12" w:rsidRPr="009B3C2F" w14:paraId="7EEA78B8" w14:textId="77777777" w:rsidTr="00525F12">
        <w:tc>
          <w:tcPr>
            <w:tcW w:w="2235" w:type="dxa"/>
            <w:shd w:val="clear" w:color="auto" w:fill="auto"/>
          </w:tcPr>
          <w:p w14:paraId="7FA67C42" w14:textId="207D0D77" w:rsidR="00525F12" w:rsidRPr="009B3C2F" w:rsidRDefault="00525F12" w:rsidP="00525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06D48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7336" w:type="dxa"/>
            <w:shd w:val="clear" w:color="auto" w:fill="auto"/>
          </w:tcPr>
          <w:p w14:paraId="30F9EC49" w14:textId="787A4E71" w:rsidR="00525F12" w:rsidRPr="009B3C2F" w:rsidRDefault="00525F12" w:rsidP="0030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</w:t>
            </w:r>
            <w:r w:rsidR="00300139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C06D48">
              <w:rPr>
                <w:rFonts w:ascii="Times New Roman" w:hAnsi="Times New Roman" w:cs="Times New Roman"/>
                <w:sz w:val="24"/>
                <w:szCs w:val="24"/>
              </w:rPr>
              <w:t xml:space="preserve"> Фонда развития Хакасии</w:t>
            </w:r>
          </w:p>
        </w:tc>
      </w:tr>
      <w:tr w:rsidR="000A3C77" w:rsidRPr="009B3C2F" w14:paraId="18AFBA9E" w14:textId="77777777" w:rsidTr="001A6B6D">
        <w:tc>
          <w:tcPr>
            <w:tcW w:w="2235" w:type="dxa"/>
            <w:shd w:val="clear" w:color="auto" w:fill="auto"/>
          </w:tcPr>
          <w:p w14:paraId="042620A3" w14:textId="3FB836BA" w:rsidR="000A3C77" w:rsidRPr="009B3C2F" w:rsidRDefault="001F6043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928CA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7336" w:type="dxa"/>
            <w:shd w:val="clear" w:color="auto" w:fill="auto"/>
          </w:tcPr>
          <w:p w14:paraId="45BEAF02" w14:textId="2620F2D3" w:rsidR="001D31A0" w:rsidRDefault="00292463" w:rsidP="009B3C2F">
            <w:pPr>
              <w:pStyle w:val="ConsPlusNormal"/>
              <w:jc w:val="both"/>
            </w:pPr>
            <w:r>
              <w:t>Услуги по о</w:t>
            </w:r>
            <w:r w:rsidR="00805C71" w:rsidRPr="009B3C2F">
              <w:t>рганизаци</w:t>
            </w:r>
            <w:r>
              <w:t>и</w:t>
            </w:r>
            <w:r w:rsidR="00805C71" w:rsidRPr="009B3C2F">
              <w:t xml:space="preserve"> и техническо</w:t>
            </w:r>
            <w:r>
              <w:t>му</w:t>
            </w:r>
            <w:r w:rsidR="00805C71" w:rsidRPr="009B3C2F">
              <w:t xml:space="preserve"> сопровождени</w:t>
            </w:r>
            <w:r>
              <w:t>ю</w:t>
            </w:r>
            <w:r w:rsidR="002376DD">
              <w:t xml:space="preserve"> </w:t>
            </w:r>
            <w:r w:rsidR="006418FA">
              <w:t>Конференции</w:t>
            </w:r>
            <w:r w:rsidR="00A07FD4">
              <w:t xml:space="preserve"> «Экологический туризм в Хакасии</w:t>
            </w:r>
            <w:r w:rsidR="00C06D48">
              <w:t>.</w:t>
            </w:r>
            <w:r w:rsidR="00A07FD4">
              <w:t xml:space="preserve"> </w:t>
            </w:r>
            <w:r w:rsidR="00C06D48">
              <w:t>В</w:t>
            </w:r>
            <w:r w:rsidR="00A07FD4">
              <w:t xml:space="preserve">озможности для малого </w:t>
            </w:r>
            <w:r w:rsidR="00C06D48" w:rsidRPr="00CF3257">
              <w:t>предпринимательства</w:t>
            </w:r>
            <w:r w:rsidR="00A07FD4">
              <w:t xml:space="preserve">» </w:t>
            </w:r>
            <w:r w:rsidRPr="009B3C2F">
              <w:t>(далее-</w:t>
            </w:r>
            <w:r w:rsidR="00A07FD4">
              <w:t>Конференция</w:t>
            </w:r>
            <w:r w:rsidRPr="009B3C2F">
              <w:t>)</w:t>
            </w:r>
            <w:r w:rsidR="00805C71" w:rsidRPr="009B3C2F">
              <w:t>, включающи</w:t>
            </w:r>
            <w:r w:rsidR="000570F0" w:rsidRPr="009B3C2F">
              <w:t>е</w:t>
            </w:r>
            <w:r w:rsidR="00805C71" w:rsidRPr="009B3C2F">
              <w:t xml:space="preserve"> в себя:</w:t>
            </w:r>
          </w:p>
          <w:p w14:paraId="65BB84A9" w14:textId="78496F19" w:rsidR="00BF583D" w:rsidRDefault="00BF583D" w:rsidP="00BF583D">
            <w:pPr>
              <w:pStyle w:val="ConsPlusNormal"/>
              <w:ind w:firstLine="459"/>
              <w:jc w:val="both"/>
            </w:pPr>
            <w:r>
              <w:t xml:space="preserve">1. </w:t>
            </w:r>
            <w:r w:rsidR="006928CA">
              <w:t>Н</w:t>
            </w:r>
            <w:r>
              <w:t xml:space="preserve">абор участников Конференции: не менее </w:t>
            </w:r>
            <w:r w:rsidR="00D73DE8">
              <w:t>50</w:t>
            </w:r>
            <w:r>
              <w:t xml:space="preserve"> субъектов МСП</w:t>
            </w:r>
            <w:r w:rsidR="00D73DE8">
              <w:t xml:space="preserve"> и 20 физических лиц, планирующих заняться предпринимательской деятельностью</w:t>
            </w:r>
            <w:r>
              <w:t>. Проверка наличия сведений об участниках Конференции в едином реестре субъектов малого и среднего предпринимательства (</w:t>
            </w:r>
            <w:r>
              <w:rPr>
                <w:lang w:val="en-US"/>
              </w:rPr>
              <w:t>https</w:t>
            </w:r>
            <w:r w:rsidRPr="00BF583D">
              <w:t>://</w:t>
            </w:r>
            <w:proofErr w:type="spellStart"/>
            <w:r>
              <w:rPr>
                <w:lang w:val="en-US"/>
              </w:rPr>
              <w:t>rmsp</w:t>
            </w:r>
            <w:proofErr w:type="spellEnd"/>
            <w:r w:rsidRPr="00BF583D">
              <w:t>.</w:t>
            </w:r>
            <w:proofErr w:type="spellStart"/>
            <w:r>
              <w:rPr>
                <w:lang w:val="en-US"/>
              </w:rPr>
              <w:t>nalog</w:t>
            </w:r>
            <w:proofErr w:type="spellEnd"/>
            <w:r w:rsidRPr="00BF583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F583D">
              <w:t>/)</w:t>
            </w:r>
            <w:r w:rsidR="006928CA">
              <w:t>.</w:t>
            </w:r>
          </w:p>
          <w:p w14:paraId="3F4CB67E" w14:textId="06106DE8" w:rsidR="00292463" w:rsidRDefault="00BF583D" w:rsidP="00BF583D">
            <w:pPr>
              <w:pStyle w:val="ConsPlusNormal"/>
              <w:ind w:firstLine="459"/>
              <w:jc w:val="both"/>
            </w:pPr>
            <w:r>
              <w:t xml:space="preserve">2. </w:t>
            </w:r>
            <w:r w:rsidR="006928CA">
              <w:t>А</w:t>
            </w:r>
            <w:r w:rsidR="002376DD">
              <w:t>ренда</w:t>
            </w:r>
            <w:r w:rsidR="00A07FD4">
              <w:t xml:space="preserve"> малого зала </w:t>
            </w:r>
            <w:r w:rsidR="002376DD">
              <w:t>Г</w:t>
            </w:r>
            <w:r w:rsidR="00A07FD4">
              <w:t xml:space="preserve">ородского культурного центра, </w:t>
            </w:r>
            <w:r w:rsidR="000E627E" w:rsidRPr="00122F7F">
              <w:t>расположенного по адресу: г. А</w:t>
            </w:r>
            <w:r w:rsidR="00A07FD4">
              <w:t>база,</w:t>
            </w:r>
            <w:r w:rsidR="000E627E" w:rsidRPr="00122F7F">
              <w:t xml:space="preserve"> ул. </w:t>
            </w:r>
            <w:r w:rsidR="00A07FD4">
              <w:t>Ленина</w:t>
            </w:r>
            <w:r w:rsidR="000E627E" w:rsidRPr="00122F7F">
              <w:t>, д. 2</w:t>
            </w:r>
            <w:r w:rsidR="00A07FD4">
              <w:t>4</w:t>
            </w:r>
            <w:r w:rsidR="000E627E" w:rsidRPr="00122F7F">
              <w:t xml:space="preserve">А, с целью организации и проведения </w:t>
            </w:r>
            <w:r w:rsidR="006418FA">
              <w:t>Конференции</w:t>
            </w:r>
            <w:r w:rsidR="006928CA">
              <w:t>.</w:t>
            </w:r>
            <w:r w:rsidR="000E627E">
              <w:t xml:space="preserve"> </w:t>
            </w:r>
          </w:p>
          <w:p w14:paraId="7D01E6A6" w14:textId="490BCD87" w:rsidR="0092358E" w:rsidRPr="009B3C2F" w:rsidRDefault="006928CA" w:rsidP="006928CA">
            <w:pPr>
              <w:pStyle w:val="ConsPlusNormal"/>
              <w:ind w:firstLine="459"/>
              <w:jc w:val="both"/>
            </w:pPr>
            <w:r>
              <w:t>3. Р</w:t>
            </w:r>
            <w:r w:rsidR="0092358E">
              <w:t xml:space="preserve">азработка </w:t>
            </w:r>
            <w:r w:rsidR="0092358E" w:rsidRPr="009B3C2F">
              <w:t>дизайн</w:t>
            </w:r>
            <w:r w:rsidR="0092358E">
              <w:t>-</w:t>
            </w:r>
            <w:r w:rsidR="00300139">
              <w:t>макета</w:t>
            </w:r>
            <w:r w:rsidR="0092358E">
              <w:t xml:space="preserve"> </w:t>
            </w:r>
            <w:r w:rsidR="00C06D48">
              <w:t xml:space="preserve">Конференции </w:t>
            </w:r>
            <w:r w:rsidR="00BF583D">
              <w:t xml:space="preserve">и подготовка к </w:t>
            </w:r>
            <w:r w:rsidR="00C06D48">
              <w:t>печати на брендоносителях</w:t>
            </w:r>
            <w:r>
              <w:t>.</w:t>
            </w:r>
          </w:p>
          <w:p w14:paraId="223E9CAB" w14:textId="62914B3B" w:rsidR="00BF583D" w:rsidRDefault="006928CA" w:rsidP="006928CA">
            <w:pPr>
              <w:pStyle w:val="ConsPlusNormal"/>
              <w:ind w:firstLine="459"/>
              <w:jc w:val="both"/>
            </w:pPr>
            <w:r>
              <w:t>4. Х</w:t>
            </w:r>
            <w:r w:rsidR="000570F0" w:rsidRPr="009B3C2F">
              <w:t xml:space="preserve">удожественное оформление и оборудование </w:t>
            </w:r>
            <w:r w:rsidR="000B1332" w:rsidRPr="009B3C2F">
              <w:rPr>
                <w:rFonts w:eastAsia="Calibri"/>
              </w:rPr>
              <w:t xml:space="preserve">мебелью, техникой, прочим оборудованием и инвентарем </w:t>
            </w:r>
            <w:r w:rsidR="000570F0" w:rsidRPr="009B3C2F">
              <w:t xml:space="preserve">площадок </w:t>
            </w:r>
            <w:r w:rsidR="006418FA">
              <w:t>Конференции</w:t>
            </w:r>
            <w:r w:rsidR="00BF583D">
              <w:t>:</w:t>
            </w:r>
          </w:p>
          <w:p w14:paraId="257A91B9" w14:textId="77777777" w:rsidR="00BF583D" w:rsidRPr="009B3C2F" w:rsidRDefault="00F8193A" w:rsidP="00BF583D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70"/>
              </w:tabs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BF583D" w:rsidRPr="009B3C2F">
              <w:rPr>
                <w:rFonts w:ascii="Times New Roman" w:hAnsi="Times New Roman" w:cs="Times New Roman"/>
                <w:sz w:val="24"/>
                <w:szCs w:val="24"/>
              </w:rPr>
              <w:t>изготовление фотозон</w:t>
            </w:r>
            <w:r w:rsidR="00BF58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F583D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351A6E" w14:textId="77777777" w:rsidR="00BF583D" w:rsidRPr="009B3C2F" w:rsidRDefault="00BF583D" w:rsidP="00BF583D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70"/>
              </w:tabs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оборудование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для проведения деловой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Конференции:</w:t>
            </w:r>
          </w:p>
          <w:p w14:paraId="1243DEF5" w14:textId="77777777" w:rsidR="00BF583D" w:rsidRDefault="00BF583D" w:rsidP="00BF583D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Зрительный зал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2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посадочных мест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, проекционный экран и проектор, звукоусиливающее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трибуна, </w:t>
            </w:r>
            <w:r w:rsidRPr="002336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на стойках, художественное оформление,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компьютер, флипчарт с блокнотом 20 листов,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маркеры, стол для размещения бутилированной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CD0D2F" w14:textId="6751DD14" w:rsidR="00BF583D" w:rsidRPr="00614893" w:rsidRDefault="00BF583D" w:rsidP="00BF583D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 зал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7F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, проекционный экран и проектор, компьютер, флипчарт с блокнотом 20 листов, </w:t>
            </w:r>
            <w:r w:rsidRPr="00A96D80">
              <w:rPr>
                <w:rFonts w:ascii="Times New Roman" w:hAnsi="Times New Roman" w:cs="Times New Roman"/>
                <w:sz w:val="24"/>
                <w:szCs w:val="24"/>
              </w:rPr>
              <w:t>стол не менее 1 шт (для спикера),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 маркеры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7F960B" w14:textId="77777777" w:rsidR="00BF583D" w:rsidRPr="00385B45" w:rsidRDefault="00BF583D" w:rsidP="00BF583D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(холл 1 этажа) – не менее 5 столов для размещения сувенирной продукции и дегустаций, стойка регистрации, пресс-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фотозона.</w:t>
            </w:r>
          </w:p>
          <w:p w14:paraId="2F7EA6F3" w14:textId="58A1464F" w:rsidR="009B3C2F" w:rsidRDefault="006928CA" w:rsidP="006928CA">
            <w:pPr>
              <w:pStyle w:val="ConsPlusNormal"/>
              <w:ind w:firstLine="459"/>
              <w:jc w:val="both"/>
            </w:pPr>
            <w:r>
              <w:t>5. Т</w:t>
            </w:r>
            <w:r w:rsidR="009B3C2F" w:rsidRPr="009B3C2F">
              <w:t xml:space="preserve">ехническое оснащение и обеспечение функционирования </w:t>
            </w:r>
            <w:r w:rsidR="00300139">
              <w:t xml:space="preserve">мультимедийного, </w:t>
            </w:r>
            <w:r w:rsidR="009B3C2F" w:rsidRPr="009B3C2F">
              <w:t xml:space="preserve">звукового и светового оборудования при проведении </w:t>
            </w:r>
            <w:r w:rsidR="006418FA">
              <w:t>Конференции</w:t>
            </w:r>
            <w:r>
              <w:t>:</w:t>
            </w:r>
          </w:p>
          <w:p w14:paraId="50051CE1" w14:textId="58EB65EB" w:rsidR="006928CA" w:rsidRPr="009B3C2F" w:rsidRDefault="006928CA" w:rsidP="006928CA">
            <w:pPr>
              <w:pStyle w:val="ab"/>
              <w:tabs>
                <w:tab w:val="left" w:pos="56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доставка, погрузка-разгрузка, установка, настройка, обеспечение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(в т. ч. обеспечение бесперебойной работы, регулирование уровня звука, своевременное подключение/отключение, соблюдение противопожарной безопасности);</w:t>
            </w:r>
          </w:p>
          <w:p w14:paraId="3E131998" w14:textId="4A4006EC" w:rsidR="006928CA" w:rsidRPr="009B3C2F" w:rsidRDefault="006928CA" w:rsidP="006928CA">
            <w:pPr>
              <w:pStyle w:val="ConsPlusNormal"/>
              <w:ind w:firstLine="317"/>
              <w:jc w:val="both"/>
            </w:pPr>
            <w:r>
              <w:t>- демонтаж оборудования, освобождение помещений от оборудования после проведения Конференции.</w:t>
            </w:r>
          </w:p>
          <w:p w14:paraId="28D78515" w14:textId="27D5CD70" w:rsidR="000570F0" w:rsidRDefault="006928CA" w:rsidP="006928CA">
            <w:pPr>
              <w:pStyle w:val="ConsPlusNormal"/>
              <w:ind w:firstLine="459"/>
              <w:jc w:val="both"/>
            </w:pPr>
            <w:r>
              <w:t>6. И</w:t>
            </w:r>
            <w:r w:rsidR="000570F0" w:rsidRPr="009B3C2F">
              <w:t xml:space="preserve">зготовление раздаточных и информационных материалов </w:t>
            </w:r>
            <w:r w:rsidR="006418FA">
              <w:t>Конференции</w:t>
            </w:r>
            <w:r>
              <w:t>:</w:t>
            </w:r>
          </w:p>
          <w:p w14:paraId="5E37A52F" w14:textId="77777777" w:rsidR="006928CA" w:rsidRPr="009B3C2F" w:rsidRDefault="006928CA" w:rsidP="006928CA">
            <w:pPr>
              <w:pStyle w:val="ab"/>
              <w:numPr>
                <w:ilvl w:val="0"/>
                <w:numId w:val="14"/>
              </w:numPr>
              <w:tabs>
                <w:tab w:val="left" w:pos="30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макета информационного баннера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м. с использованием символики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(монтаж, демонтаж)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C8E3C7" w14:textId="77777777" w:rsidR="006928CA" w:rsidRPr="006418FA" w:rsidRDefault="006928CA" w:rsidP="006928CA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Press-wall</w:t>
            </w:r>
            <w:proofErr w:type="spellEnd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4*7 м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18F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установка (монтаж, демонтаж). </w:t>
            </w:r>
          </w:p>
          <w:p w14:paraId="10D70BC2" w14:textId="77777777" w:rsidR="006928CA" w:rsidRPr="009B3C2F" w:rsidRDefault="006928CA" w:rsidP="006928CA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раздаточного материала с символикой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EAC960" w14:textId="77777777" w:rsidR="006928CA" w:rsidRPr="009B3C2F" w:rsidRDefault="006928CA" w:rsidP="006928CA">
            <w:pPr>
              <w:pStyle w:val="ab"/>
              <w:numPr>
                <w:ilvl w:val="0"/>
                <w:numId w:val="13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блокнот А5 с местом под ручку, обложка ламинированная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штук); </w:t>
            </w:r>
          </w:p>
          <w:p w14:paraId="5E3C2EAE" w14:textId="77777777" w:rsidR="006928CA" w:rsidRPr="009B3C2F" w:rsidRDefault="006928CA" w:rsidP="006928CA">
            <w:pPr>
              <w:pStyle w:val="ab"/>
              <w:numPr>
                <w:ilvl w:val="0"/>
                <w:numId w:val="13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ручка пластиковая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штук; </w:t>
            </w:r>
          </w:p>
          <w:p w14:paraId="45D7BC00" w14:textId="77777777" w:rsidR="006928CA" w:rsidRDefault="006928CA" w:rsidP="006928CA">
            <w:pPr>
              <w:pStyle w:val="ab"/>
              <w:numPr>
                <w:ilvl w:val="0"/>
                <w:numId w:val="13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штук; </w:t>
            </w:r>
          </w:p>
          <w:p w14:paraId="00543055" w14:textId="77777777" w:rsidR="006928CA" w:rsidRPr="009B3C2F" w:rsidRDefault="006928CA" w:rsidP="006928CA">
            <w:pPr>
              <w:pStyle w:val="ab"/>
              <w:numPr>
                <w:ilvl w:val="0"/>
                <w:numId w:val="13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пакет бумажный 250*36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0 - 70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штук; </w:t>
            </w:r>
          </w:p>
          <w:p w14:paraId="5036F95C" w14:textId="38CEE8AC" w:rsidR="006928CA" w:rsidRPr="009B3C2F" w:rsidRDefault="006928CA" w:rsidP="006928CA">
            <w:pPr>
              <w:pStyle w:val="ConsPlusNormal"/>
              <w:numPr>
                <w:ilvl w:val="0"/>
                <w:numId w:val="13"/>
              </w:numPr>
              <w:ind w:left="0" w:firstLine="317"/>
              <w:jc w:val="both"/>
            </w:pPr>
            <w:proofErr w:type="spellStart"/>
            <w:r w:rsidRPr="009B3C2F">
              <w:t>бейдж</w:t>
            </w:r>
            <w:proofErr w:type="spellEnd"/>
            <w:r w:rsidRPr="009B3C2F">
              <w:t xml:space="preserve"> участника (лента для </w:t>
            </w:r>
            <w:proofErr w:type="spellStart"/>
            <w:r w:rsidRPr="009B3C2F">
              <w:t>бейджа</w:t>
            </w:r>
            <w:proofErr w:type="spellEnd"/>
            <w:r w:rsidRPr="009B3C2F">
              <w:t xml:space="preserve"> с </w:t>
            </w:r>
            <w:proofErr w:type="spellStart"/>
            <w:r w:rsidRPr="009B3C2F">
              <w:t>клипсой</w:t>
            </w:r>
            <w:proofErr w:type="spellEnd"/>
            <w:r w:rsidRPr="009B3C2F">
              <w:t xml:space="preserve"> </w:t>
            </w:r>
            <w:r>
              <w:t>«</w:t>
            </w:r>
            <w:r w:rsidRPr="009B3C2F">
              <w:t>крокодил</w:t>
            </w:r>
            <w:r>
              <w:t>»</w:t>
            </w:r>
            <w:r w:rsidRPr="009B3C2F">
              <w:t xml:space="preserve">, карман для бейджа 60*100мм) </w:t>
            </w:r>
            <w:r>
              <w:t>70</w:t>
            </w:r>
            <w:r w:rsidRPr="009B3C2F">
              <w:t xml:space="preserve"> штук.</w:t>
            </w:r>
          </w:p>
          <w:p w14:paraId="423457E8" w14:textId="77777777" w:rsidR="006928CA" w:rsidRDefault="006928CA" w:rsidP="006928CA">
            <w:pPr>
              <w:pStyle w:val="ConsPlusNormal"/>
              <w:ind w:firstLine="317"/>
              <w:jc w:val="both"/>
            </w:pPr>
            <w:r>
              <w:rPr>
                <w:color w:val="000000" w:themeColor="text1"/>
                <w:lang w:eastAsia="en-US"/>
              </w:rPr>
              <w:t>7. О</w:t>
            </w:r>
            <w:r w:rsidR="000570F0" w:rsidRPr="009B3C2F">
              <w:t xml:space="preserve">рганизация и проведение мероприятий </w:t>
            </w:r>
            <w:r w:rsidR="006418FA">
              <w:t>Конференции</w:t>
            </w:r>
            <w:r w:rsidR="00C06D48">
              <w:t>, согласно плану, согласованному с Заказчиком</w:t>
            </w:r>
            <w:r>
              <w:t>:</w:t>
            </w:r>
          </w:p>
          <w:p w14:paraId="5F0D0E72" w14:textId="77777777" w:rsidR="006928CA" w:rsidRPr="009B3C2F" w:rsidRDefault="006928CA" w:rsidP="006928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70"/>
              </w:tabs>
              <w:spacing w:after="0" w:line="240" w:lineRule="auto"/>
              <w:ind w:left="34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СМС — оповещений участников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(отправка не менее 2 (двух) СМС-сообщений участникам о дате и времени 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Конференции</w:t>
            </w: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14:paraId="12F009C0" w14:textId="77777777" w:rsidR="006928CA" w:rsidRPr="009B3C2F" w:rsidRDefault="006928CA" w:rsidP="006928C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4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церемонии открытия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Конференции,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работы привлеченных специалистов;</w:t>
            </w:r>
          </w:p>
          <w:p w14:paraId="1DB2D887" w14:textId="64066BAA" w:rsidR="006928CA" w:rsidRPr="009B3C2F" w:rsidRDefault="006928CA" w:rsidP="006928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70"/>
              </w:tabs>
              <w:spacing w:after="0" w:line="240" w:lineRule="auto"/>
              <w:ind w:left="346" w:hanging="3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проведение регистрации участников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течение не менее 1 (одного) часа до начала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форме заказчика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не менее чем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пятью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представителями Исполнителя с предоставлением участникам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раздаточной продукции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бе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джа участника.</w:t>
            </w:r>
          </w:p>
          <w:p w14:paraId="71297B59" w14:textId="77777777" w:rsidR="006928CA" w:rsidRPr="009B3C2F" w:rsidRDefault="006928CA" w:rsidP="006928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70"/>
              </w:tabs>
              <w:spacing w:after="0" w:line="240" w:lineRule="auto"/>
              <w:ind w:left="346" w:hanging="3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слуги по координации и контролю проведения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течение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дней в соответствии с утвержденной программой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F6DEA09" w14:textId="77777777" w:rsidR="006928CA" w:rsidRPr="009B3C2F" w:rsidRDefault="006928CA" w:rsidP="006928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70"/>
              </w:tabs>
              <w:spacing w:after="0" w:line="240" w:lineRule="auto"/>
              <w:ind w:left="346" w:hanging="3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технической подготовки к открытию;</w:t>
            </w:r>
          </w:p>
          <w:p w14:paraId="16B839E8" w14:textId="77777777" w:rsidR="006928CA" w:rsidRPr="009B3C2F" w:rsidRDefault="006928CA" w:rsidP="006928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70"/>
              </w:tabs>
              <w:spacing w:after="0" w:line="240" w:lineRule="auto"/>
              <w:ind w:left="346" w:hanging="3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координация и контроль процедуры открытия и закрытия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4923C91" w14:textId="77777777" w:rsidR="006928CA" w:rsidRPr="009B3C2F" w:rsidRDefault="006928CA" w:rsidP="006928C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4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волонтеров в количестве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рамках подготовки и проведения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(отбор, обучение, </w:t>
            </w:r>
            <w:r w:rsidRPr="002756C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деятельности);</w:t>
            </w:r>
          </w:p>
          <w:p w14:paraId="692A64DC" w14:textId="77777777" w:rsidR="006928CA" w:rsidRDefault="006928CA" w:rsidP="006928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70"/>
              </w:tabs>
              <w:spacing w:after="0" w:line="240" w:lineRule="auto"/>
              <w:ind w:left="34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фото- и видеосъемки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 силами либо осуществление контроля работы привлеченных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специалистов;</w:t>
            </w:r>
          </w:p>
          <w:p w14:paraId="1A6C3220" w14:textId="77777777" w:rsidR="006928CA" w:rsidRDefault="006928CA" w:rsidP="006928CA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7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рекламно-информационной кампании собственными силами </w:t>
            </w:r>
            <w:r w:rsidRPr="00B438A1">
              <w:rPr>
                <w:rFonts w:ascii="Times New Roman" w:hAnsi="Times New Roman" w:cs="Times New Roman"/>
                <w:sz w:val="24"/>
                <w:szCs w:val="24"/>
              </w:rPr>
              <w:t>либо осуществление контроля работы привлеченных специалистов;</w:t>
            </w:r>
          </w:p>
          <w:p w14:paraId="6F193112" w14:textId="7726B727" w:rsidR="000570F0" w:rsidRDefault="006928CA" w:rsidP="006928CA">
            <w:pPr>
              <w:pStyle w:val="ConsPlusNormal"/>
              <w:ind w:firstLine="317"/>
              <w:jc w:val="both"/>
            </w:pPr>
            <w:r>
              <w:t>осуществление логистики Конференции, в том числе формирование общего списка участников и списков участников по секциям и т.д.</w:t>
            </w:r>
          </w:p>
          <w:p w14:paraId="1DB4FD9B" w14:textId="77777777" w:rsidR="005A16AB" w:rsidRDefault="005A16AB" w:rsidP="005A16AB">
            <w:pPr>
              <w:pStyle w:val="ConsPlusNormal"/>
              <w:ind w:firstLine="317"/>
              <w:jc w:val="both"/>
            </w:pPr>
            <w:r>
              <w:t>8.</w:t>
            </w:r>
            <w:r w:rsidR="00525F12">
              <w:t xml:space="preserve"> </w:t>
            </w:r>
            <w:r>
              <w:t>О</w:t>
            </w:r>
            <w:r w:rsidR="000570F0" w:rsidRPr="009B3C2F">
              <w:t xml:space="preserve">рганизация </w:t>
            </w:r>
            <w:r w:rsidR="00024C16" w:rsidRPr="00122F7F">
              <w:t>кофе-брейков</w:t>
            </w:r>
            <w:r w:rsidR="00024C16">
              <w:t xml:space="preserve"> для </w:t>
            </w:r>
            <w:r w:rsidR="000570F0" w:rsidRPr="009B3C2F">
              <w:t xml:space="preserve">участников </w:t>
            </w:r>
            <w:r w:rsidR="006418FA">
              <w:t>Конференции</w:t>
            </w:r>
            <w:r>
              <w:t>:</w:t>
            </w:r>
          </w:p>
          <w:p w14:paraId="7A1C621F" w14:textId="77777777" w:rsidR="005A16AB" w:rsidRDefault="005A16AB" w:rsidP="005A16AB">
            <w:pPr>
              <w:pStyle w:val="ConsPlusNormal"/>
              <w:ind w:firstLine="317"/>
              <w:jc w:val="both"/>
            </w:pPr>
            <w:r>
              <w:t>-</w:t>
            </w:r>
            <w:r w:rsidRPr="009B3C2F">
              <w:t xml:space="preserve"> в количестве </w:t>
            </w:r>
            <w:r>
              <w:t>двух</w:t>
            </w:r>
            <w:r w:rsidRPr="009B3C2F">
              <w:t xml:space="preserve"> </w:t>
            </w:r>
            <w:r>
              <w:t xml:space="preserve">кофе-брейков (не менее 70 человек) </w:t>
            </w:r>
            <w:r w:rsidRPr="009B3C2F">
              <w:t xml:space="preserve">в первый день </w:t>
            </w:r>
            <w:r>
              <w:t>Конференции;</w:t>
            </w:r>
          </w:p>
          <w:p w14:paraId="347C7374" w14:textId="28183457" w:rsidR="000B1332" w:rsidRDefault="005A16AB" w:rsidP="005A16AB">
            <w:pPr>
              <w:pStyle w:val="ConsPlusNormal"/>
              <w:ind w:firstLine="317"/>
              <w:jc w:val="both"/>
            </w:pPr>
            <w:r>
              <w:t xml:space="preserve">- </w:t>
            </w:r>
            <w:r w:rsidRPr="009B3C2F">
              <w:t xml:space="preserve">в количестве </w:t>
            </w:r>
            <w:r>
              <w:t>одного</w:t>
            </w:r>
            <w:r w:rsidRPr="009B3C2F">
              <w:t xml:space="preserve"> во второй день </w:t>
            </w:r>
            <w:r>
              <w:t>Конференции.</w:t>
            </w:r>
          </w:p>
          <w:p w14:paraId="7C606280" w14:textId="5875DF98" w:rsidR="004B2801" w:rsidRPr="009B3C2F" w:rsidRDefault="005A16AB" w:rsidP="005A16AB">
            <w:pPr>
              <w:pStyle w:val="ConsPlusNormal"/>
              <w:ind w:firstLine="317"/>
              <w:jc w:val="both"/>
            </w:pPr>
            <w:r>
              <w:t>9. П</w:t>
            </w:r>
            <w:r w:rsidR="00C06D48">
              <w:t>ривлечение</w:t>
            </w:r>
            <w:r w:rsidR="000B1332" w:rsidRPr="00302A2F">
              <w:t xml:space="preserve"> спикеров</w:t>
            </w:r>
            <w:r w:rsidR="00BF583D">
              <w:t xml:space="preserve"> и экспертов, и построение логистики для них в течение всего времени проведения Конференции</w:t>
            </w:r>
            <w:r>
              <w:t xml:space="preserve"> (и</w:t>
            </w:r>
            <w:r w:rsidRPr="00122F7F">
              <w:t>нформация о спикерах и проводимых ими информационно-обучающих мероприяти</w:t>
            </w:r>
            <w:r>
              <w:t>ях</w:t>
            </w:r>
            <w:r w:rsidRPr="00122F7F">
              <w:t xml:space="preserve"> должна быть д</w:t>
            </w:r>
            <w:r>
              <w:t>оведена до исполнителя в течение</w:t>
            </w:r>
            <w:r w:rsidRPr="00122F7F">
              <w:t xml:space="preserve"> 3 рабочих дней с момента заключения договора</w:t>
            </w:r>
            <w:r>
              <w:t>).</w:t>
            </w:r>
          </w:p>
        </w:tc>
      </w:tr>
      <w:tr w:rsidR="009B3C2F" w:rsidRPr="009B3C2F" w14:paraId="05004AE4" w14:textId="77777777" w:rsidTr="001A6B6D">
        <w:tc>
          <w:tcPr>
            <w:tcW w:w="2235" w:type="dxa"/>
            <w:shd w:val="clear" w:color="auto" w:fill="auto"/>
          </w:tcPr>
          <w:p w14:paraId="28970B74" w14:textId="4371D4FC" w:rsidR="009B3C2F" w:rsidRPr="00524D02" w:rsidRDefault="009B3C2F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Место проведения </w:t>
            </w:r>
            <w:r w:rsidR="00641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Конференции</w:t>
            </w:r>
          </w:p>
        </w:tc>
        <w:tc>
          <w:tcPr>
            <w:tcW w:w="7336" w:type="dxa"/>
            <w:shd w:val="clear" w:color="auto" w:fill="auto"/>
          </w:tcPr>
          <w:p w14:paraId="459F22A1" w14:textId="2E22BDE6" w:rsidR="009B3C2F" w:rsidRPr="009B3C2F" w:rsidRDefault="00524D02" w:rsidP="009B3C2F">
            <w:pPr>
              <w:pStyle w:val="ConsPlusNormal"/>
              <w:jc w:val="both"/>
            </w:pPr>
            <w:r w:rsidRPr="00524D02">
              <w:t>Городско</w:t>
            </w:r>
            <w:r>
              <w:t>й</w:t>
            </w:r>
            <w:r w:rsidRPr="00524D02">
              <w:t xml:space="preserve"> культурн</w:t>
            </w:r>
            <w:r>
              <w:t>ый</w:t>
            </w:r>
            <w:r w:rsidRPr="00524D02">
              <w:t xml:space="preserve"> центр, расположенн</w:t>
            </w:r>
            <w:r>
              <w:t>ый</w:t>
            </w:r>
            <w:r w:rsidRPr="00524D02">
              <w:t xml:space="preserve"> по адресу: г. Абаза, ул. Ленина, д. 24А</w:t>
            </w:r>
          </w:p>
        </w:tc>
      </w:tr>
      <w:tr w:rsidR="001F6043" w:rsidRPr="009B3C2F" w14:paraId="28DFD2A8" w14:textId="77777777" w:rsidTr="001A6B6D">
        <w:tc>
          <w:tcPr>
            <w:tcW w:w="2235" w:type="dxa"/>
            <w:shd w:val="clear" w:color="auto" w:fill="auto"/>
          </w:tcPr>
          <w:p w14:paraId="7745BC7B" w14:textId="77777777" w:rsidR="001F6043" w:rsidRPr="009B3C2F" w:rsidRDefault="001F6043" w:rsidP="009B3C2F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7336" w:type="dxa"/>
            <w:shd w:val="clear" w:color="auto" w:fill="auto"/>
          </w:tcPr>
          <w:p w14:paraId="495CA89A" w14:textId="1EA05DAA" w:rsidR="001F6043" w:rsidRPr="009B3C2F" w:rsidRDefault="001F6043" w:rsidP="009B3C2F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даты</w:t>
            </w:r>
            <w:r w:rsidR="0043793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договора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07F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FD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2019 года.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D07C5" w14:textId="007AF893" w:rsidR="001F6043" w:rsidRPr="009B3C2F" w:rsidRDefault="001F6043" w:rsidP="00A96D80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– </w:t>
            </w:r>
            <w:r w:rsidR="006418FA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38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0F0" w:rsidRPr="009B3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70F0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FD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3793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года (включительно). </w:t>
            </w:r>
          </w:p>
        </w:tc>
      </w:tr>
      <w:tr w:rsidR="00D80F95" w:rsidRPr="009B3C2F" w14:paraId="44997C1D" w14:textId="77777777" w:rsidTr="001A6B6D">
        <w:tc>
          <w:tcPr>
            <w:tcW w:w="2235" w:type="dxa"/>
            <w:shd w:val="clear" w:color="auto" w:fill="auto"/>
          </w:tcPr>
          <w:p w14:paraId="2DA13274" w14:textId="77777777" w:rsidR="00D80F95" w:rsidRPr="009B3C2F" w:rsidRDefault="00D80F95" w:rsidP="009B3C2F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Исполнителю </w:t>
            </w:r>
          </w:p>
        </w:tc>
        <w:tc>
          <w:tcPr>
            <w:tcW w:w="7336" w:type="dxa"/>
            <w:shd w:val="clear" w:color="auto" w:fill="auto"/>
          </w:tcPr>
          <w:p w14:paraId="1C195832" w14:textId="77777777" w:rsidR="00525F12" w:rsidRPr="00122F7F" w:rsidRDefault="00525F12" w:rsidP="00525F12">
            <w:pPr>
              <w:tabs>
                <w:tab w:val="left" w:pos="175"/>
                <w:tab w:val="left" w:pos="1134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должен соответствовать следующим требованиям:</w:t>
            </w:r>
          </w:p>
          <w:p w14:paraId="135937A8" w14:textId="77777777" w:rsidR="00525F12" w:rsidRPr="00122F7F" w:rsidRDefault="00525F12" w:rsidP="00525F12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122F7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122F7F">
                <w:rPr>
                  <w:rFonts w:ascii="Times New Roman" w:hAnsi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>- Главное управление по вопросам миграции МВД России)</w:t>
            </w:r>
            <w:r w:rsidR="0030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F7F">
              <w:rPr>
                <w:rFonts w:ascii="Times New Roman" w:hAnsi="Times New Roman"/>
                <w:sz w:val="24"/>
                <w:szCs w:val="24"/>
              </w:rPr>
              <w:t>или законодательством иностранного государства их регистрации (гражданства).</w:t>
            </w:r>
          </w:p>
          <w:p w14:paraId="60B8D210" w14:textId="77777777" w:rsidR="00525F12" w:rsidRPr="00122F7F" w:rsidRDefault="00525F12" w:rsidP="00525F12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122F7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0" w:history="1">
              <w:r w:rsidRPr="00122F7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>- картотека арбитражных дел).</w:t>
            </w:r>
          </w:p>
          <w:p w14:paraId="2D5FAC32" w14:textId="77777777" w:rsidR="00525F12" w:rsidRPr="00122F7F" w:rsidRDefault="00525F12" w:rsidP="00525F12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122F7F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122F7F">
              <w:rPr>
                <w:rFonts w:ascii="Times New Roman" w:eastAsia="Times New Roman" w:hAnsi="Times New Roman"/>
                <w:sz w:val="24"/>
                <w:szCs w:val="24"/>
              </w:rPr>
              <w:t> - реестр недобросовестных поставщиков).</w:t>
            </w:r>
          </w:p>
          <w:p w14:paraId="4A5DC1B8" w14:textId="3448D801" w:rsidR="00525F12" w:rsidRPr="00122F7F" w:rsidRDefault="00525F12" w:rsidP="00525F12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15A6D157" w14:textId="4F9AA00C" w:rsidR="00525F12" w:rsidRDefault="00525F12" w:rsidP="00300139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>5</w:t>
            </w:r>
            <w:r w:rsidR="00FF64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2F7F">
              <w:rPr>
                <w:rFonts w:ascii="Times New Roman" w:hAnsi="Times New Roman"/>
                <w:sz w:val="24"/>
                <w:szCs w:val="24"/>
              </w:rPr>
              <w:t xml:space="preserve">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14:paraId="3D0FBAFD" w14:textId="77777777" w:rsidR="005A16AB" w:rsidRDefault="005A16AB" w:rsidP="00300139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853D8D" w14:textId="55970231" w:rsidR="005A16AB" w:rsidRPr="008F0A0C" w:rsidRDefault="005A16AB" w:rsidP="00300139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должен соответствовать следующим критериям: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3"/>
              <w:gridCol w:w="2813"/>
            </w:tblGrid>
            <w:tr w:rsidR="00122F7F" w:rsidRPr="00122F7F" w14:paraId="762030C2" w14:textId="77777777" w:rsidTr="007A0031">
              <w:trPr>
                <w:trHeight w:val="239"/>
              </w:trPr>
              <w:tc>
                <w:tcPr>
                  <w:tcW w:w="4303" w:type="dxa"/>
                  <w:shd w:val="clear" w:color="auto" w:fill="auto"/>
                </w:tcPr>
                <w:p w14:paraId="3BB9B625" w14:textId="77777777" w:rsidR="00525F12" w:rsidRPr="00122F7F" w:rsidRDefault="00525F12" w:rsidP="0052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14:paraId="5E8D847A" w14:textId="77777777" w:rsidR="00525F12" w:rsidRPr="00122F7F" w:rsidRDefault="00525F12" w:rsidP="0052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122F7F" w:rsidRPr="00122F7F" w14:paraId="78BECA40" w14:textId="77777777" w:rsidTr="005A16AB">
              <w:trPr>
                <w:trHeight w:val="1120"/>
              </w:trPr>
              <w:tc>
                <w:tcPr>
                  <w:tcW w:w="4303" w:type="dxa"/>
                  <w:shd w:val="clear" w:color="auto" w:fill="auto"/>
                </w:tcPr>
                <w:p w14:paraId="4BFB66A8" w14:textId="77777777" w:rsidR="00525F12" w:rsidRPr="00122F7F" w:rsidRDefault="004F3D2F" w:rsidP="00122F7F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62"/>
                      <w:tab w:val="left" w:pos="442"/>
                    </w:tabs>
                    <w:suppressAutoHyphens/>
                    <w:spacing w:after="0" w:line="240" w:lineRule="auto"/>
                    <w:ind w:left="62" w:hanging="2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Опыт предоставления аналогичных услуг в количестве</w:t>
                  </w:r>
                  <w:r w:rsidR="00122F7F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не менее 3</w:t>
                  </w: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или существование на рынке оказания аналогичных услуг не менее 2 лет 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14:paraId="069E0F54" w14:textId="77777777" w:rsidR="00525F12" w:rsidRPr="00122F7F" w:rsidRDefault="00525F12" w:rsidP="00525F12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122F7F" w:rsidRPr="00122F7F" w14:paraId="2AADB053" w14:textId="77777777" w:rsidTr="007A0031">
              <w:tc>
                <w:tcPr>
                  <w:tcW w:w="4303" w:type="dxa"/>
                  <w:shd w:val="clear" w:color="auto" w:fill="auto"/>
                </w:tcPr>
                <w:p w14:paraId="4A61F70E" w14:textId="77777777" w:rsidR="00525F12" w:rsidRPr="00122F7F" w:rsidRDefault="004F3D2F" w:rsidP="004F3D2F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33"/>
                      <w:tab w:val="left" w:pos="382"/>
                    </w:tabs>
                    <w:suppressAutoHyphens/>
                    <w:spacing w:after="0" w:line="240" w:lineRule="auto"/>
                    <w:ind w:left="62" w:hanging="2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 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14:paraId="2B4FAD07" w14:textId="77777777" w:rsidR="00525F12" w:rsidRPr="00122F7F" w:rsidRDefault="00525F12" w:rsidP="00525F1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Копии выписки из штатного расписания, копии трудовых договоров, (при наличии согласия сотрудника), проч.</w:t>
                  </w:r>
                </w:p>
              </w:tc>
            </w:tr>
            <w:tr w:rsidR="00122F7F" w:rsidRPr="00122F7F" w14:paraId="7924E289" w14:textId="77777777" w:rsidTr="007A0031">
              <w:tc>
                <w:tcPr>
                  <w:tcW w:w="4303" w:type="dxa"/>
                  <w:shd w:val="clear" w:color="auto" w:fill="auto"/>
                </w:tcPr>
                <w:p w14:paraId="3D6006CC" w14:textId="2DE4BAF8" w:rsidR="00525F12" w:rsidRPr="00122F7F" w:rsidRDefault="004F3D2F" w:rsidP="00524D02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292"/>
                      <w:tab w:val="left" w:pos="567"/>
                    </w:tabs>
                    <w:spacing w:after="0" w:line="240" w:lineRule="auto"/>
                    <w:ind w:left="62" w:hanging="29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</w:t>
                  </w: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</w:t>
                  </w: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проводится отбор (подтверждающие документы: договоры, в том числе предварительные, письма о сотрудничестве, документы, подтв</w:t>
                  </w:r>
                  <w:r w:rsidR="007803A2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ерждающие квалификация и проч.)</w:t>
                  </w: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14:paraId="27F18FC3" w14:textId="77777777" w:rsidR="00525F12" w:rsidRPr="00122F7F" w:rsidRDefault="004F3D2F" w:rsidP="004F3D2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Копии договоров, в том числе предварительных, письма о сотрудничестве, документы, подтверждающие квалификация и проч</w:t>
                  </w:r>
                  <w:r w:rsidR="001E691D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122F7F" w:rsidRPr="00122F7F" w14:paraId="1332CD96" w14:textId="77777777" w:rsidTr="007A0031">
              <w:tc>
                <w:tcPr>
                  <w:tcW w:w="4303" w:type="dxa"/>
                  <w:shd w:val="clear" w:color="auto" w:fill="auto"/>
                </w:tcPr>
                <w:p w14:paraId="64E979D8" w14:textId="5898747E" w:rsidR="00525F12" w:rsidRPr="00122F7F" w:rsidRDefault="007803A2" w:rsidP="006418FA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397"/>
                      <w:tab w:val="left" w:pos="567"/>
                    </w:tabs>
                    <w:spacing w:after="0" w:line="240" w:lineRule="auto"/>
                    <w:ind w:left="62" w:hanging="29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Наличие финансовых ресурсов и/или материально-технической базы для исполнения договора в размере</w:t>
                  </w:r>
                  <w:r w:rsidR="001E691D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418F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  <w:r w:rsidR="001E691D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0 % от стоимости услуг. 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14:paraId="6BF438C5" w14:textId="77777777" w:rsidR="00525F12" w:rsidRPr="00122F7F" w:rsidRDefault="007803A2" w:rsidP="007803A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Выписка банка, копии договоров аренды, проч.</w:t>
                  </w:r>
                </w:p>
              </w:tc>
            </w:tr>
            <w:tr w:rsidR="00122F7F" w:rsidRPr="00122F7F" w14:paraId="1EAF368B" w14:textId="77777777" w:rsidTr="007A0031">
              <w:tc>
                <w:tcPr>
                  <w:tcW w:w="4303" w:type="dxa"/>
                  <w:shd w:val="clear" w:color="auto" w:fill="auto"/>
                </w:tcPr>
                <w:p w14:paraId="1F05BC40" w14:textId="77777777" w:rsidR="00525F12" w:rsidRPr="00122F7F" w:rsidRDefault="007803A2" w:rsidP="007803A2">
                  <w:pPr>
                    <w:numPr>
                      <w:ilvl w:val="0"/>
                      <w:numId w:val="12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 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14:paraId="3A13A50A" w14:textId="77777777" w:rsidR="00525F12" w:rsidRPr="00122F7F" w:rsidRDefault="007803A2" w:rsidP="007803A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Стратегия реализации услуг/работ, проч. </w:t>
                  </w:r>
                </w:p>
              </w:tc>
            </w:tr>
            <w:tr w:rsidR="00122F7F" w:rsidRPr="00122F7F" w14:paraId="0237E208" w14:textId="77777777" w:rsidTr="007A0031">
              <w:tc>
                <w:tcPr>
                  <w:tcW w:w="4303" w:type="dxa"/>
                  <w:shd w:val="clear" w:color="auto" w:fill="auto"/>
                </w:tcPr>
                <w:p w14:paraId="42CC3808" w14:textId="77777777" w:rsidR="007803A2" w:rsidRPr="00122F7F" w:rsidRDefault="007803A2" w:rsidP="007803A2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27"/>
                    </w:tabs>
                    <w:spacing w:after="0" w:line="240" w:lineRule="auto"/>
                    <w:ind w:left="62" w:hanging="2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2813" w:type="dxa"/>
                  <w:shd w:val="clear" w:color="auto" w:fill="auto"/>
                </w:tcPr>
                <w:p w14:paraId="2F8E53F6" w14:textId="5715F61B" w:rsidR="007803A2" w:rsidRPr="00122F7F" w:rsidRDefault="007803A2" w:rsidP="007803A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Благодарственные письма, рекомендации, перечень контрагентов с указанием тел. для связи, проч</w:t>
                  </w:r>
                  <w:r w:rsidR="005A16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122F7F" w:rsidRPr="00122F7F" w14:paraId="50C10BFB" w14:textId="77777777" w:rsidTr="00026414">
              <w:tc>
                <w:tcPr>
                  <w:tcW w:w="7116" w:type="dxa"/>
                  <w:gridSpan w:val="2"/>
                  <w:shd w:val="clear" w:color="auto" w:fill="auto"/>
                </w:tcPr>
                <w:p w14:paraId="1D513DEA" w14:textId="43B670B4" w:rsidR="00525F12" w:rsidRPr="00122F7F" w:rsidRDefault="00525F12" w:rsidP="007A003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Минимальный размер соответствия требованиям, определенным в качестве критериев для оценки участника процедуры отбора – 83,3%.</w:t>
                  </w:r>
                </w:p>
              </w:tc>
            </w:tr>
          </w:tbl>
          <w:p w14:paraId="18F56B16" w14:textId="77777777" w:rsidR="00525F12" w:rsidRPr="00122F7F" w:rsidRDefault="00525F12" w:rsidP="00525F12">
            <w:pPr>
              <w:tabs>
                <w:tab w:val="left" w:pos="175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F02418C" w14:textId="6FA08C6A" w:rsidR="008408D5" w:rsidRPr="009B3C2F" w:rsidRDefault="00525F12" w:rsidP="00524D02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 </w:t>
            </w:r>
          </w:p>
        </w:tc>
      </w:tr>
      <w:tr w:rsidR="00CD6F5B" w:rsidRPr="009B3C2F" w14:paraId="3BC65D39" w14:textId="77777777" w:rsidTr="001A6B6D">
        <w:tc>
          <w:tcPr>
            <w:tcW w:w="2235" w:type="dxa"/>
            <w:shd w:val="clear" w:color="auto" w:fill="auto"/>
          </w:tcPr>
          <w:p w14:paraId="34AA3F42" w14:textId="77777777" w:rsidR="00CD6F5B" w:rsidRPr="009B3C2F" w:rsidRDefault="00CD6F5B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Стоимость услуг</w:t>
            </w:r>
            <w:r w:rsidR="00011012" w:rsidRPr="009B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порядок оплаты</w:t>
            </w:r>
          </w:p>
        </w:tc>
        <w:tc>
          <w:tcPr>
            <w:tcW w:w="7336" w:type="dxa"/>
            <w:shd w:val="clear" w:color="auto" w:fill="auto"/>
          </w:tcPr>
          <w:p w14:paraId="02499C79" w14:textId="06DFB102" w:rsidR="00011012" w:rsidRPr="009B3C2F" w:rsidRDefault="00CD6F5B" w:rsidP="009B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организации и техническому сопровождению </w:t>
            </w:r>
            <w:r w:rsidR="006418FA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6418FA">
              <w:rPr>
                <w:rFonts w:ascii="Times New Roman" w:hAnsi="Times New Roman" w:cs="Times New Roman"/>
                <w:sz w:val="24"/>
                <w:szCs w:val="24"/>
              </w:rPr>
              <w:t>396 </w:t>
            </w:r>
            <w:r w:rsidR="002336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418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336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18FA">
              <w:rPr>
                <w:rFonts w:ascii="Times New Roman" w:hAnsi="Times New Roman" w:cs="Times New Roman"/>
                <w:sz w:val="24"/>
                <w:szCs w:val="24"/>
              </w:rPr>
              <w:t>триста девяносто шесть</w:t>
            </w:r>
            <w:r w:rsidR="00233658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641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365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641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48B19" w14:textId="77777777" w:rsidR="00011012" w:rsidRPr="009B3C2F" w:rsidRDefault="00011012" w:rsidP="009B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Оплата услуг производится на основании счета, выставленного Исполнителем, путем перечисления денежных средств на расчетный счет Исполнителя в следующем порядке:</w:t>
            </w:r>
          </w:p>
          <w:p w14:paraId="12592052" w14:textId="78FC9FF6" w:rsidR="00011012" w:rsidRPr="009B3C2F" w:rsidRDefault="00011012" w:rsidP="009B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DEC" w:rsidRPr="009B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услуг в течени</w:t>
            </w:r>
            <w:r w:rsidR="006418FA" w:rsidRPr="009B3C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 момента заключения договора;</w:t>
            </w:r>
          </w:p>
          <w:p w14:paraId="003992EE" w14:textId="0411AF7B" w:rsidR="00011012" w:rsidRPr="009B3C2F" w:rsidRDefault="00011012" w:rsidP="00641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1D6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% от стоимости услуг в течени</w:t>
            </w:r>
            <w:r w:rsidR="006418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с момента подписания Акта сдачи-приемки оказанных услуг</w:t>
            </w:r>
          </w:p>
        </w:tc>
      </w:tr>
    </w:tbl>
    <w:p w14:paraId="43F3265B" w14:textId="77777777" w:rsidR="001068EF" w:rsidRDefault="00106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81574F" w14:textId="634DC70D" w:rsidR="006418FA" w:rsidRPr="006418FA" w:rsidRDefault="006418FA" w:rsidP="00641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8FA">
        <w:rPr>
          <w:rFonts w:ascii="Times New Roman" w:hAnsi="Times New Roman"/>
          <w:sz w:val="24"/>
          <w:szCs w:val="24"/>
        </w:rPr>
        <w:t>Предложения на, оказание услуг направляются в течени</w:t>
      </w:r>
      <w:r>
        <w:rPr>
          <w:rFonts w:ascii="Times New Roman" w:hAnsi="Times New Roman"/>
          <w:sz w:val="24"/>
          <w:szCs w:val="24"/>
        </w:rPr>
        <w:t>е</w:t>
      </w:r>
      <w:r w:rsidRPr="006418FA">
        <w:rPr>
          <w:rFonts w:ascii="Times New Roman" w:hAnsi="Times New Roman"/>
          <w:sz w:val="24"/>
          <w:szCs w:val="24"/>
        </w:rPr>
        <w:t xml:space="preserve"> </w:t>
      </w:r>
      <w:r w:rsidR="007977A9">
        <w:rPr>
          <w:rFonts w:ascii="Times New Roman" w:hAnsi="Times New Roman"/>
          <w:sz w:val="24"/>
          <w:szCs w:val="24"/>
        </w:rPr>
        <w:t>7</w:t>
      </w:r>
      <w:r w:rsidRPr="006418FA">
        <w:rPr>
          <w:rFonts w:ascii="Times New Roman" w:hAnsi="Times New Roman"/>
          <w:sz w:val="24"/>
          <w:szCs w:val="24"/>
        </w:rPr>
        <w:t xml:space="preserve"> календарных дней (до </w:t>
      </w:r>
      <w:r>
        <w:rPr>
          <w:rFonts w:ascii="Times New Roman" w:hAnsi="Times New Roman"/>
          <w:sz w:val="24"/>
          <w:szCs w:val="24"/>
        </w:rPr>
        <w:t>1</w:t>
      </w:r>
      <w:r w:rsidR="007977A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418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6418FA">
        <w:rPr>
          <w:rFonts w:ascii="Times New Roman" w:hAnsi="Times New Roman"/>
          <w:sz w:val="24"/>
          <w:szCs w:val="24"/>
        </w:rPr>
        <w:t xml:space="preserve">.2019 включительно) в письменном виде за подписью уполномоченного лица и печатью (при наличии) участника процедуры отбора на адрес электронной почты </w:t>
      </w:r>
      <w:r w:rsidRPr="006418FA">
        <w:rPr>
          <w:rFonts w:ascii="Times New Roman" w:hAnsi="Times New Roman"/>
          <w:sz w:val="24"/>
          <w:szCs w:val="24"/>
          <w:lang w:val="en-US"/>
        </w:rPr>
        <w:t>fondrh</w:t>
      </w:r>
      <w:r w:rsidRPr="006418FA">
        <w:rPr>
          <w:rFonts w:ascii="Times New Roman" w:hAnsi="Times New Roman"/>
          <w:sz w:val="24"/>
          <w:szCs w:val="24"/>
        </w:rPr>
        <w:t>@</w:t>
      </w:r>
      <w:r w:rsidRPr="006418FA">
        <w:rPr>
          <w:rFonts w:ascii="Times New Roman" w:hAnsi="Times New Roman"/>
          <w:sz w:val="24"/>
          <w:szCs w:val="24"/>
          <w:lang w:val="en-US"/>
        </w:rPr>
        <w:t>mail</w:t>
      </w:r>
      <w:r w:rsidRPr="006418FA">
        <w:rPr>
          <w:rFonts w:ascii="Times New Roman" w:hAnsi="Times New Roman"/>
          <w:sz w:val="24"/>
          <w:szCs w:val="24"/>
        </w:rPr>
        <w:t>.</w:t>
      </w:r>
      <w:proofErr w:type="spellStart"/>
      <w:r w:rsidRPr="006418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418FA">
        <w:rPr>
          <w:rFonts w:ascii="Times New Roman" w:hAnsi="Times New Roman"/>
          <w:sz w:val="24"/>
          <w:szCs w:val="24"/>
        </w:rPr>
        <w:t xml:space="preserve"> либо предоставляются нарочно по адресу: Республика Хакасия, г. Абакан, ул. Кирова, д. 81 (Фонд развития Хакасии), с приложением следующих, заверенных надлежащим образом, документов и сведений:</w:t>
      </w:r>
    </w:p>
    <w:p w14:paraId="1797DD77" w14:textId="77777777" w:rsidR="008F0A0C" w:rsidRPr="00122F7F" w:rsidRDefault="008F0A0C" w:rsidP="008F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E11CD7" w14:textId="77777777" w:rsidR="006418FA" w:rsidRPr="00D26285" w:rsidRDefault="006418FA" w:rsidP="006418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</w:t>
      </w:r>
      <w:proofErr w:type="spellStart"/>
      <w:r w:rsidRPr="00D26285">
        <w:rPr>
          <w:rFonts w:ascii="Times New Roman" w:hAnsi="Times New Roman"/>
          <w:sz w:val="24"/>
          <w:szCs w:val="24"/>
        </w:rPr>
        <w:t>т.ч</w:t>
      </w:r>
      <w:proofErr w:type="spellEnd"/>
      <w:r w:rsidRPr="00D26285">
        <w:rPr>
          <w:rFonts w:ascii="Times New Roman" w:hAnsi="Times New Roman"/>
          <w:sz w:val="24"/>
          <w:szCs w:val="24"/>
        </w:rPr>
        <w:t xml:space="preserve">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81C51A8" w14:textId="77777777" w:rsidR="006418FA" w:rsidRPr="00D26285" w:rsidRDefault="006418FA" w:rsidP="006418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14:paraId="41753C93" w14:textId="77777777" w:rsidR="006418FA" w:rsidRPr="00D26285" w:rsidRDefault="006418FA" w:rsidP="006418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49A1A320" w14:textId="77777777" w:rsidR="006418FA" w:rsidRPr="00D26285" w:rsidRDefault="006418FA" w:rsidP="006418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58FBE6A7" w14:textId="77777777" w:rsidR="006418FA" w:rsidRPr="00D26285" w:rsidRDefault="006418FA" w:rsidP="006418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52CC8150" w14:textId="77777777" w:rsidR="006418FA" w:rsidRPr="00D26285" w:rsidRDefault="006418FA" w:rsidP="006418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0A89C271" w14:textId="77777777" w:rsidR="006418FA" w:rsidRPr="00D26285" w:rsidRDefault="006418FA" w:rsidP="006418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14:paraId="61F51D80" w14:textId="77777777" w:rsidR="006418FA" w:rsidRPr="00D26285" w:rsidRDefault="006418FA" w:rsidP="006418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13799709" w14:textId="77777777" w:rsidR="006418FA" w:rsidRPr="00D26285" w:rsidRDefault="006418FA" w:rsidP="006418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14:paraId="3AA3FE73" w14:textId="0BF3CCC7" w:rsidR="006418FA" w:rsidRPr="00D26285" w:rsidRDefault="006418FA" w:rsidP="006418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6285">
        <w:rPr>
          <w:rFonts w:ascii="Times New Roman" w:hAnsi="Times New Roman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установленным в разделе 5 </w:t>
      </w:r>
      <w:r>
        <w:rPr>
          <w:rFonts w:ascii="Times New Roman" w:hAnsi="Times New Roman"/>
          <w:sz w:val="24"/>
          <w:szCs w:val="24"/>
        </w:rPr>
        <w:t>(</w:t>
      </w:r>
      <w:r w:rsidRPr="009B3C2F">
        <w:rPr>
          <w:rFonts w:ascii="Times New Roman" w:hAnsi="Times New Roman" w:cs="Times New Roman"/>
          <w:sz w:val="24"/>
          <w:szCs w:val="24"/>
        </w:rPr>
        <w:t>Требования к Исполнителю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3C2F">
        <w:rPr>
          <w:rFonts w:ascii="Times New Roman" w:hAnsi="Times New Roman" w:cs="Times New Roman"/>
          <w:sz w:val="24"/>
          <w:szCs w:val="24"/>
        </w:rPr>
        <w:t xml:space="preserve"> </w:t>
      </w:r>
      <w:r w:rsidRPr="00D26285">
        <w:rPr>
          <w:rFonts w:ascii="Times New Roman" w:hAnsi="Times New Roman"/>
          <w:sz w:val="24"/>
          <w:szCs w:val="24"/>
        </w:rPr>
        <w:t xml:space="preserve">настоящего Положения. </w:t>
      </w:r>
    </w:p>
    <w:p w14:paraId="71C61A7F" w14:textId="77777777" w:rsidR="001068EF" w:rsidRDefault="00106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068EF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2F"/>
    <w:multiLevelType w:val="hybridMultilevel"/>
    <w:tmpl w:val="BECADBF2"/>
    <w:lvl w:ilvl="0" w:tplc="72C6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36E7"/>
    <w:multiLevelType w:val="hybridMultilevel"/>
    <w:tmpl w:val="103C26BE"/>
    <w:lvl w:ilvl="0" w:tplc="72C6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164"/>
    <w:multiLevelType w:val="hybridMultilevel"/>
    <w:tmpl w:val="B604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A24BD"/>
    <w:multiLevelType w:val="hybridMultilevel"/>
    <w:tmpl w:val="43F80338"/>
    <w:lvl w:ilvl="0" w:tplc="72C6ADCE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33E6A6C"/>
    <w:multiLevelType w:val="hybridMultilevel"/>
    <w:tmpl w:val="601C7B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294A"/>
    <w:multiLevelType w:val="hybridMultilevel"/>
    <w:tmpl w:val="043A6C32"/>
    <w:lvl w:ilvl="0" w:tplc="21E21ED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2D90A62"/>
    <w:multiLevelType w:val="hybridMultilevel"/>
    <w:tmpl w:val="E4A67A80"/>
    <w:lvl w:ilvl="0" w:tplc="98A0C38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A701C6E"/>
    <w:multiLevelType w:val="hybridMultilevel"/>
    <w:tmpl w:val="D2546FD0"/>
    <w:lvl w:ilvl="0" w:tplc="72C6ADCE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0993"/>
    <w:multiLevelType w:val="hybridMultilevel"/>
    <w:tmpl w:val="4C3E65D0"/>
    <w:lvl w:ilvl="0" w:tplc="76484D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027AB"/>
    <w:multiLevelType w:val="hybridMultilevel"/>
    <w:tmpl w:val="E1A05396"/>
    <w:lvl w:ilvl="0" w:tplc="72C6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31D3A"/>
    <w:multiLevelType w:val="hybridMultilevel"/>
    <w:tmpl w:val="05888FD6"/>
    <w:lvl w:ilvl="0" w:tplc="72C6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91736"/>
    <w:multiLevelType w:val="hybridMultilevel"/>
    <w:tmpl w:val="6248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EF"/>
    <w:rsid w:val="00011012"/>
    <w:rsid w:val="00024C16"/>
    <w:rsid w:val="000570F0"/>
    <w:rsid w:val="000A3C77"/>
    <w:rsid w:val="000B1332"/>
    <w:rsid w:val="000D60BA"/>
    <w:rsid w:val="000E627E"/>
    <w:rsid w:val="000F2ED5"/>
    <w:rsid w:val="001068EF"/>
    <w:rsid w:val="00112803"/>
    <w:rsid w:val="00122F7F"/>
    <w:rsid w:val="00126294"/>
    <w:rsid w:val="00183310"/>
    <w:rsid w:val="001A6B6D"/>
    <w:rsid w:val="001B6030"/>
    <w:rsid w:val="001D31A0"/>
    <w:rsid w:val="001E3EFD"/>
    <w:rsid w:val="001E691D"/>
    <w:rsid w:val="001F1C87"/>
    <w:rsid w:val="001F6043"/>
    <w:rsid w:val="00214527"/>
    <w:rsid w:val="00233658"/>
    <w:rsid w:val="002376DD"/>
    <w:rsid w:val="00247533"/>
    <w:rsid w:val="002756C7"/>
    <w:rsid w:val="0028758E"/>
    <w:rsid w:val="00292463"/>
    <w:rsid w:val="00292DBC"/>
    <w:rsid w:val="002B1A43"/>
    <w:rsid w:val="002F0A7F"/>
    <w:rsid w:val="002F5F5B"/>
    <w:rsid w:val="002F7F89"/>
    <w:rsid w:val="00300139"/>
    <w:rsid w:val="00302A2F"/>
    <w:rsid w:val="0031623C"/>
    <w:rsid w:val="00317623"/>
    <w:rsid w:val="00385B45"/>
    <w:rsid w:val="00393315"/>
    <w:rsid w:val="003C452E"/>
    <w:rsid w:val="003F1AEA"/>
    <w:rsid w:val="00437932"/>
    <w:rsid w:val="00460A6D"/>
    <w:rsid w:val="004B2801"/>
    <w:rsid w:val="004B493A"/>
    <w:rsid w:val="004C5D5F"/>
    <w:rsid w:val="004D232E"/>
    <w:rsid w:val="004F3D2F"/>
    <w:rsid w:val="004F4A48"/>
    <w:rsid w:val="0050702A"/>
    <w:rsid w:val="005165B7"/>
    <w:rsid w:val="00524D02"/>
    <w:rsid w:val="00525F12"/>
    <w:rsid w:val="0053187B"/>
    <w:rsid w:val="00533F7E"/>
    <w:rsid w:val="00540698"/>
    <w:rsid w:val="00590E31"/>
    <w:rsid w:val="005A16AB"/>
    <w:rsid w:val="005C3A1D"/>
    <w:rsid w:val="005C7619"/>
    <w:rsid w:val="005D402E"/>
    <w:rsid w:val="005E78AE"/>
    <w:rsid w:val="005F0DFB"/>
    <w:rsid w:val="00607B64"/>
    <w:rsid w:val="00614893"/>
    <w:rsid w:val="006418FA"/>
    <w:rsid w:val="00676547"/>
    <w:rsid w:val="006928CA"/>
    <w:rsid w:val="006B1691"/>
    <w:rsid w:val="006C3EE1"/>
    <w:rsid w:val="006F02F7"/>
    <w:rsid w:val="007214E7"/>
    <w:rsid w:val="007272D7"/>
    <w:rsid w:val="007803A2"/>
    <w:rsid w:val="007932BA"/>
    <w:rsid w:val="007977A9"/>
    <w:rsid w:val="007A0031"/>
    <w:rsid w:val="007A0DD9"/>
    <w:rsid w:val="007F0FF3"/>
    <w:rsid w:val="007F1028"/>
    <w:rsid w:val="00805C71"/>
    <w:rsid w:val="00810E2D"/>
    <w:rsid w:val="008408D5"/>
    <w:rsid w:val="00853A20"/>
    <w:rsid w:val="00872076"/>
    <w:rsid w:val="008947EE"/>
    <w:rsid w:val="008D4D56"/>
    <w:rsid w:val="008F0A0C"/>
    <w:rsid w:val="008F6A42"/>
    <w:rsid w:val="00907816"/>
    <w:rsid w:val="0092358E"/>
    <w:rsid w:val="009407A9"/>
    <w:rsid w:val="00944A6A"/>
    <w:rsid w:val="00945466"/>
    <w:rsid w:val="00977059"/>
    <w:rsid w:val="009B3C2F"/>
    <w:rsid w:val="00A07FD4"/>
    <w:rsid w:val="00A142C9"/>
    <w:rsid w:val="00A96D80"/>
    <w:rsid w:val="00AA4472"/>
    <w:rsid w:val="00AB1CC3"/>
    <w:rsid w:val="00AB2C58"/>
    <w:rsid w:val="00AD4DEC"/>
    <w:rsid w:val="00AE3822"/>
    <w:rsid w:val="00B03855"/>
    <w:rsid w:val="00B20F26"/>
    <w:rsid w:val="00B30117"/>
    <w:rsid w:val="00B438A1"/>
    <w:rsid w:val="00B65D42"/>
    <w:rsid w:val="00BE31BE"/>
    <w:rsid w:val="00BF583D"/>
    <w:rsid w:val="00BF6198"/>
    <w:rsid w:val="00C00886"/>
    <w:rsid w:val="00C047A1"/>
    <w:rsid w:val="00C06D48"/>
    <w:rsid w:val="00C10BAA"/>
    <w:rsid w:val="00C2752C"/>
    <w:rsid w:val="00C33670"/>
    <w:rsid w:val="00CD4033"/>
    <w:rsid w:val="00CD4D0B"/>
    <w:rsid w:val="00CD6F5B"/>
    <w:rsid w:val="00CF0405"/>
    <w:rsid w:val="00CF3257"/>
    <w:rsid w:val="00D027CB"/>
    <w:rsid w:val="00D0353F"/>
    <w:rsid w:val="00D340FA"/>
    <w:rsid w:val="00D37E60"/>
    <w:rsid w:val="00D73DE8"/>
    <w:rsid w:val="00D80F95"/>
    <w:rsid w:val="00E73EF9"/>
    <w:rsid w:val="00EF002A"/>
    <w:rsid w:val="00EF11D6"/>
    <w:rsid w:val="00F8193A"/>
    <w:rsid w:val="00FA41E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0E2F7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03549"/>
  </w:style>
  <w:style w:type="character" w:customStyle="1" w:styleId="a5">
    <w:name w:val="Нижний колонтитул Знак"/>
    <w:basedOn w:val="a0"/>
    <w:uiPriority w:val="99"/>
    <w:qFormat/>
    <w:rsid w:val="00F03549"/>
  </w:style>
  <w:style w:type="character" w:customStyle="1" w:styleId="-">
    <w:name w:val="Интернет-ссылка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aliases w:val="СПИСОК,Абзац списка для документа"/>
    <w:basedOn w:val="a"/>
    <w:link w:val="ac"/>
    <w:uiPriority w:val="34"/>
    <w:qFormat/>
    <w:rsid w:val="00A52BE7"/>
    <w:pPr>
      <w:ind w:left="720"/>
      <w:contextualSpacing/>
    </w:pPr>
  </w:style>
  <w:style w:type="paragraph" w:styleId="ad">
    <w:name w:val="head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79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3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80F95"/>
    <w:rPr>
      <w:color w:val="0000FF" w:themeColor="hyperlink"/>
      <w:u w:val="single"/>
    </w:rPr>
  </w:style>
  <w:style w:type="character" w:customStyle="1" w:styleId="ac">
    <w:name w:val="Абзац списка Знак"/>
    <w:aliases w:val="СПИСОК Знак,Абзац списка для документа Знак"/>
    <w:link w:val="ab"/>
    <w:uiPriority w:val="34"/>
    <w:locked/>
    <w:rsid w:val="00CD6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0E2F7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03549"/>
  </w:style>
  <w:style w:type="character" w:customStyle="1" w:styleId="a5">
    <w:name w:val="Нижний колонтитул Знак"/>
    <w:basedOn w:val="a0"/>
    <w:uiPriority w:val="99"/>
    <w:qFormat/>
    <w:rsid w:val="00F03549"/>
  </w:style>
  <w:style w:type="character" w:customStyle="1" w:styleId="-">
    <w:name w:val="Интернет-ссылка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aliases w:val="СПИСОК,Абзац списка для документа"/>
    <w:basedOn w:val="a"/>
    <w:link w:val="ac"/>
    <w:uiPriority w:val="34"/>
    <w:qFormat/>
    <w:rsid w:val="00A52BE7"/>
    <w:pPr>
      <w:ind w:left="720"/>
      <w:contextualSpacing/>
    </w:pPr>
  </w:style>
  <w:style w:type="paragraph" w:styleId="ad">
    <w:name w:val="head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79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3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80F95"/>
    <w:rPr>
      <w:color w:val="0000FF" w:themeColor="hyperlink"/>
      <w:u w:val="single"/>
    </w:rPr>
  </w:style>
  <w:style w:type="character" w:customStyle="1" w:styleId="ac">
    <w:name w:val="Абзац списка Знак"/>
    <w:aliases w:val="СПИСОК Знак,Абзац списка для документа Знак"/>
    <w:link w:val="ab"/>
    <w:uiPriority w:val="34"/>
    <w:locked/>
    <w:rsid w:val="00CD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grul.nalo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.arbi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752A939-8F6C-4CE2-ADB3-26B45DF6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Шокур Сергей</dc:creator>
  <cp:lastModifiedBy>Шокур Сергей</cp:lastModifiedBy>
  <cp:revision>9</cp:revision>
  <cp:lastPrinted>2019-08-02T08:11:00Z</cp:lastPrinted>
  <dcterms:created xsi:type="dcterms:W3CDTF">2019-09-11T03:32:00Z</dcterms:created>
  <dcterms:modified xsi:type="dcterms:W3CDTF">2019-09-16T07:37:00Z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